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CB3" w:rsidRDefault="00EA1CB3" w:rsidP="00EA1CB3">
      <w:pPr>
        <w:jc w:val="center"/>
        <w:rPr>
          <w:rFonts w:ascii="Times New Roman" w:hAnsi="Times New Roman"/>
          <w:b/>
          <w:szCs w:val="24"/>
          <w:u w:val="single"/>
        </w:rPr>
      </w:pPr>
      <w:proofErr w:type="gramStart"/>
      <w:r>
        <w:rPr>
          <w:rFonts w:ascii="Times New Roman" w:hAnsi="Times New Roman"/>
          <w:b/>
          <w:szCs w:val="24"/>
          <w:u w:val="single"/>
        </w:rPr>
        <w:t>….</w:t>
      </w:r>
      <w:proofErr w:type="gramEnd"/>
      <w:r>
        <w:rPr>
          <w:rFonts w:ascii="Times New Roman" w:hAnsi="Times New Roman"/>
          <w:b/>
          <w:szCs w:val="24"/>
          <w:u w:val="single"/>
        </w:rPr>
        <w:t xml:space="preserve"> </w:t>
      </w:r>
      <w:r w:rsidRPr="000E35B9">
        <w:rPr>
          <w:rFonts w:ascii="Times New Roman" w:hAnsi="Times New Roman"/>
          <w:b/>
          <w:szCs w:val="24"/>
          <w:u w:val="single"/>
        </w:rPr>
        <w:t xml:space="preserve">PORTFÖY YÖNETİMİ A.Ş KORUMA AMAÇLI ŞEMSİYE FON’A </w:t>
      </w:r>
      <w:r>
        <w:rPr>
          <w:rFonts w:ascii="Times New Roman" w:hAnsi="Times New Roman"/>
          <w:b/>
          <w:szCs w:val="24"/>
          <w:u w:val="single"/>
        </w:rPr>
        <w:t>BAĞLI</w:t>
      </w:r>
    </w:p>
    <w:p w:rsidR="00EA1CB3" w:rsidRPr="000E35B9" w:rsidRDefault="00EA1CB3" w:rsidP="00EA1CB3">
      <w:pPr>
        <w:jc w:val="center"/>
        <w:rPr>
          <w:rFonts w:ascii="Times New Roman" w:hAnsi="Times New Roman"/>
          <w:b/>
          <w:szCs w:val="24"/>
          <w:u w:val="single"/>
        </w:rPr>
      </w:pPr>
      <w:proofErr w:type="gramStart"/>
      <w:r>
        <w:rPr>
          <w:rFonts w:ascii="Times New Roman" w:hAnsi="Times New Roman"/>
          <w:b/>
          <w:szCs w:val="24"/>
          <w:u w:val="single"/>
        </w:rPr>
        <w:t>………..</w:t>
      </w:r>
      <w:proofErr w:type="gramEnd"/>
      <w:r>
        <w:rPr>
          <w:rFonts w:ascii="Times New Roman" w:hAnsi="Times New Roman"/>
          <w:b/>
          <w:szCs w:val="24"/>
          <w:u w:val="single"/>
        </w:rPr>
        <w:t>YATIRIM YAPAN ……..</w:t>
      </w:r>
      <w:r w:rsidRPr="000E35B9">
        <w:rPr>
          <w:rFonts w:ascii="Times New Roman" w:hAnsi="Times New Roman"/>
          <w:b/>
          <w:szCs w:val="24"/>
          <w:u w:val="single"/>
        </w:rPr>
        <w:t>FON</w:t>
      </w:r>
      <w:r>
        <w:rPr>
          <w:rFonts w:ascii="Times New Roman" w:hAnsi="Times New Roman"/>
          <w:b/>
          <w:szCs w:val="24"/>
          <w:u w:val="single"/>
        </w:rPr>
        <w:t>’UN</w:t>
      </w:r>
    </w:p>
    <w:p w:rsidR="00EA1CB3" w:rsidRDefault="00EA1CB3" w:rsidP="00EA1CB3">
      <w:pPr>
        <w:jc w:val="center"/>
        <w:rPr>
          <w:rFonts w:ascii="Times New Roman" w:hAnsi="Times New Roman"/>
          <w:b/>
          <w:szCs w:val="24"/>
          <w:u w:val="single"/>
        </w:rPr>
      </w:pPr>
      <w:r w:rsidRPr="000E35B9">
        <w:rPr>
          <w:rFonts w:ascii="Times New Roman" w:hAnsi="Times New Roman"/>
          <w:b/>
          <w:szCs w:val="24"/>
          <w:u w:val="single"/>
        </w:rPr>
        <w:t xml:space="preserve">YATIRIM DÖNEMİNİN SONA ERMESİ NEDENİYLE HAZIRLANAN </w:t>
      </w:r>
    </w:p>
    <w:p w:rsidR="00EA1CB3" w:rsidRDefault="00EA1CB3" w:rsidP="00EA1CB3">
      <w:pPr>
        <w:jc w:val="center"/>
        <w:rPr>
          <w:rFonts w:ascii="Times New Roman" w:hAnsi="Times New Roman"/>
          <w:b/>
          <w:szCs w:val="24"/>
          <w:u w:val="single"/>
        </w:rPr>
      </w:pPr>
      <w:r w:rsidRPr="000E35B9">
        <w:rPr>
          <w:rFonts w:ascii="Times New Roman" w:hAnsi="Times New Roman"/>
          <w:b/>
          <w:szCs w:val="24"/>
          <w:u w:val="single"/>
        </w:rPr>
        <w:t>BEYANNAME</w:t>
      </w:r>
    </w:p>
    <w:p w:rsidR="00EA1CB3" w:rsidRPr="000E35B9" w:rsidRDefault="00EA1CB3" w:rsidP="00EA1CB3">
      <w:pPr>
        <w:jc w:val="center"/>
        <w:rPr>
          <w:rFonts w:ascii="Times New Roman" w:hAnsi="Times New Roman"/>
          <w:b/>
          <w:szCs w:val="24"/>
          <w:u w:val="single"/>
        </w:rPr>
      </w:pPr>
    </w:p>
    <w:p w:rsidR="00EA1CB3" w:rsidRPr="000E35B9" w:rsidRDefault="00EA1CB3" w:rsidP="00EA1CB3">
      <w:pPr>
        <w:pStyle w:val="ListeParagraf"/>
        <w:numPr>
          <w:ilvl w:val="0"/>
          <w:numId w:val="1"/>
        </w:numPr>
        <w:spacing w:line="340" w:lineRule="atLeast"/>
        <w:ind w:left="567" w:hanging="207"/>
        <w:jc w:val="both"/>
        <w:rPr>
          <w:rFonts w:ascii="Times New Roman" w:hAnsi="Times New Roman"/>
          <w:sz w:val="24"/>
          <w:szCs w:val="24"/>
        </w:rPr>
      </w:pPr>
      <w:r w:rsidRPr="000E35B9">
        <w:rPr>
          <w:rFonts w:ascii="Times New Roman" w:hAnsi="Times New Roman"/>
          <w:sz w:val="24"/>
          <w:szCs w:val="24"/>
        </w:rPr>
        <w:t xml:space="preserve"> Fon’un yatırım dönemi </w:t>
      </w:r>
      <w:proofErr w:type="gramStart"/>
      <w:r>
        <w:rPr>
          <w:rFonts w:ascii="Times New Roman" w:hAnsi="Times New Roman"/>
          <w:sz w:val="24"/>
          <w:szCs w:val="24"/>
        </w:rPr>
        <w:t>……………</w:t>
      </w:r>
      <w:proofErr w:type="gramEnd"/>
      <w:r w:rsidRPr="000E35B9">
        <w:rPr>
          <w:rFonts w:ascii="Times New Roman" w:hAnsi="Times New Roman"/>
          <w:sz w:val="24"/>
          <w:szCs w:val="24"/>
        </w:rPr>
        <w:t>tarihinde sona ermiştir.</w:t>
      </w:r>
    </w:p>
    <w:p w:rsidR="00EA1CB3" w:rsidRPr="00D52C14" w:rsidRDefault="00EA1CB3" w:rsidP="00EA1CB3">
      <w:pPr>
        <w:pStyle w:val="ListeParagraf"/>
        <w:spacing w:line="340" w:lineRule="atLeast"/>
        <w:ind w:left="360"/>
        <w:jc w:val="both"/>
        <w:rPr>
          <w:rFonts w:ascii="Times New Roman" w:hAnsi="Times New Roman"/>
          <w:sz w:val="24"/>
          <w:szCs w:val="24"/>
        </w:rPr>
      </w:pPr>
    </w:p>
    <w:p w:rsidR="00EA1CB3" w:rsidRPr="00D52C14" w:rsidRDefault="00EA1CB3" w:rsidP="00EA1CB3">
      <w:pPr>
        <w:pStyle w:val="ListeParagraf"/>
        <w:numPr>
          <w:ilvl w:val="0"/>
          <w:numId w:val="1"/>
        </w:numPr>
        <w:spacing w:line="340" w:lineRule="atLeast"/>
        <w:ind w:left="567" w:hanging="207"/>
        <w:jc w:val="both"/>
        <w:rPr>
          <w:rFonts w:ascii="Times New Roman" w:hAnsi="Times New Roman"/>
          <w:sz w:val="24"/>
          <w:szCs w:val="24"/>
        </w:rPr>
      </w:pPr>
      <w:r w:rsidRPr="00D52C14">
        <w:rPr>
          <w:rFonts w:ascii="Times New Roman" w:hAnsi="Times New Roman"/>
          <w:sz w:val="24"/>
          <w:szCs w:val="24"/>
        </w:rPr>
        <w:t xml:space="preserve"> Yatırım döneminin bitimini takip eden bir ay içerisinde yapılması gereken özel bağımsız denetimin tarihi </w:t>
      </w:r>
      <w:proofErr w:type="gramStart"/>
      <w:r>
        <w:rPr>
          <w:rFonts w:ascii="Times New Roman" w:hAnsi="Times New Roman"/>
          <w:sz w:val="24"/>
          <w:szCs w:val="24"/>
        </w:rPr>
        <w:t>…….</w:t>
      </w:r>
      <w:proofErr w:type="gramEnd"/>
      <w:r w:rsidRPr="00D52C14">
        <w:rPr>
          <w:rFonts w:ascii="Times New Roman" w:hAnsi="Times New Roman"/>
          <w:sz w:val="24"/>
          <w:szCs w:val="24"/>
        </w:rPr>
        <w:t xml:space="preserve">olup, bağımsız denetim raporu </w:t>
      </w:r>
      <w:r w:rsidRPr="00D52C14">
        <w:rPr>
          <w:rFonts w:ascii="Times New Roman" w:hAnsi="Times New Roman"/>
          <w:b/>
          <w:sz w:val="24"/>
          <w:szCs w:val="24"/>
        </w:rPr>
        <w:t>Ek/1</w:t>
      </w:r>
      <w:r w:rsidRPr="00D52C14">
        <w:rPr>
          <w:rFonts w:ascii="Times New Roman" w:hAnsi="Times New Roman"/>
          <w:sz w:val="24"/>
          <w:szCs w:val="24"/>
        </w:rPr>
        <w:t xml:space="preserve">’de yer almaktadır. </w:t>
      </w:r>
    </w:p>
    <w:p w:rsidR="00EA1CB3" w:rsidRPr="000E35B9" w:rsidRDefault="00EA1CB3" w:rsidP="00EA1CB3">
      <w:pPr>
        <w:pStyle w:val="ListeParagraf"/>
        <w:ind w:left="0"/>
        <w:rPr>
          <w:rFonts w:ascii="Times New Roman" w:hAnsi="Times New Roman"/>
          <w:sz w:val="24"/>
          <w:szCs w:val="24"/>
        </w:rPr>
      </w:pPr>
    </w:p>
    <w:p w:rsidR="00EA1CB3" w:rsidRPr="000E35B9" w:rsidRDefault="00EA1CB3" w:rsidP="00EA1CB3">
      <w:pPr>
        <w:pStyle w:val="ListeParagraf"/>
        <w:numPr>
          <w:ilvl w:val="0"/>
          <w:numId w:val="1"/>
        </w:numPr>
        <w:spacing w:line="340" w:lineRule="atLeast"/>
        <w:ind w:left="567" w:hanging="207"/>
        <w:jc w:val="both"/>
        <w:rPr>
          <w:rFonts w:ascii="Times New Roman" w:hAnsi="Times New Roman"/>
          <w:sz w:val="24"/>
          <w:szCs w:val="24"/>
        </w:rPr>
      </w:pPr>
      <w:r w:rsidRPr="000E35B9">
        <w:rPr>
          <w:rFonts w:ascii="Times New Roman" w:hAnsi="Times New Roman"/>
          <w:sz w:val="24"/>
          <w:szCs w:val="24"/>
        </w:rPr>
        <w:t xml:space="preserve"> Özel bağımsız denetim sonucunda;</w:t>
      </w:r>
    </w:p>
    <w:p w:rsidR="00EA1CB3" w:rsidRPr="000E35B9" w:rsidRDefault="00EA1CB3" w:rsidP="00EA1CB3">
      <w:pPr>
        <w:pStyle w:val="ListeParagraf"/>
        <w:spacing w:line="340" w:lineRule="atLeast"/>
        <w:ind w:left="0"/>
        <w:jc w:val="both"/>
        <w:rPr>
          <w:rFonts w:ascii="Times New Roman" w:hAnsi="Times New Roman"/>
          <w:sz w:val="24"/>
          <w:szCs w:val="24"/>
        </w:rPr>
      </w:pPr>
    </w:p>
    <w:p w:rsidR="00EA1CB3" w:rsidRPr="000E35B9" w:rsidRDefault="00EA1CB3" w:rsidP="00EA1CB3">
      <w:pPr>
        <w:pStyle w:val="ListeParagraf"/>
        <w:numPr>
          <w:ilvl w:val="0"/>
          <w:numId w:val="2"/>
        </w:numPr>
        <w:autoSpaceDE w:val="0"/>
        <w:autoSpaceDN w:val="0"/>
        <w:adjustRightInd w:val="0"/>
        <w:spacing w:after="0" w:line="340" w:lineRule="atLeast"/>
        <w:ind w:hanging="72"/>
        <w:jc w:val="both"/>
        <w:rPr>
          <w:rFonts w:ascii="Times New Roman" w:hAnsi="Times New Roman"/>
          <w:sz w:val="24"/>
          <w:szCs w:val="24"/>
        </w:rPr>
      </w:pPr>
      <w:r w:rsidRPr="000E35B9">
        <w:rPr>
          <w:rFonts w:ascii="Times New Roman" w:hAnsi="Times New Roman"/>
          <w:sz w:val="24"/>
          <w:szCs w:val="24"/>
        </w:rPr>
        <w:t xml:space="preserve">Fon </w:t>
      </w:r>
      <w:proofErr w:type="gramStart"/>
      <w:r w:rsidRPr="000E35B9">
        <w:rPr>
          <w:rFonts w:ascii="Times New Roman" w:hAnsi="Times New Roman"/>
          <w:sz w:val="24"/>
          <w:szCs w:val="24"/>
        </w:rPr>
        <w:t>portföylerindeki</w:t>
      </w:r>
      <w:proofErr w:type="gramEnd"/>
      <w:r w:rsidRPr="000E35B9">
        <w:rPr>
          <w:rFonts w:ascii="Times New Roman" w:hAnsi="Times New Roman"/>
          <w:sz w:val="24"/>
          <w:szCs w:val="24"/>
        </w:rPr>
        <w:t xml:space="preserve"> varlıkların Kurulca belirlenen esaslara uygun olarak saklanıp saklanmadığı konusundaki görüş </w:t>
      </w:r>
      <w:proofErr w:type="spellStart"/>
      <w:r w:rsidRPr="000E35B9">
        <w:rPr>
          <w:rFonts w:ascii="Times New Roman" w:hAnsi="Times New Roman"/>
          <w:sz w:val="24"/>
          <w:szCs w:val="24"/>
        </w:rPr>
        <w:t>olumlu’dur</w:t>
      </w:r>
      <w:proofErr w:type="spellEnd"/>
      <w:r w:rsidRPr="000E35B9">
        <w:rPr>
          <w:rFonts w:ascii="Times New Roman" w:hAnsi="Times New Roman"/>
          <w:sz w:val="24"/>
          <w:szCs w:val="24"/>
        </w:rPr>
        <w:t>.</w:t>
      </w:r>
    </w:p>
    <w:p w:rsidR="00EA1CB3" w:rsidRPr="000E35B9" w:rsidRDefault="00EA1CB3" w:rsidP="00EA1CB3">
      <w:pPr>
        <w:pStyle w:val="ListeParagraf"/>
        <w:autoSpaceDE w:val="0"/>
        <w:autoSpaceDN w:val="0"/>
        <w:adjustRightInd w:val="0"/>
        <w:spacing w:after="0" w:line="340" w:lineRule="atLeast"/>
        <w:ind w:left="1065"/>
        <w:jc w:val="both"/>
        <w:rPr>
          <w:rFonts w:ascii="Times New Roman" w:hAnsi="Times New Roman"/>
          <w:sz w:val="24"/>
          <w:szCs w:val="24"/>
        </w:rPr>
      </w:pPr>
    </w:p>
    <w:p w:rsidR="00EA1CB3" w:rsidRPr="000E35B9" w:rsidRDefault="00EA1CB3" w:rsidP="00EA1CB3">
      <w:pPr>
        <w:pStyle w:val="ListeParagraf"/>
        <w:numPr>
          <w:ilvl w:val="0"/>
          <w:numId w:val="2"/>
        </w:numPr>
        <w:autoSpaceDE w:val="0"/>
        <w:autoSpaceDN w:val="0"/>
        <w:adjustRightInd w:val="0"/>
        <w:spacing w:after="0" w:line="340" w:lineRule="atLeast"/>
        <w:ind w:hanging="72"/>
        <w:jc w:val="both"/>
        <w:rPr>
          <w:rFonts w:ascii="Times New Roman" w:hAnsi="Times New Roman"/>
          <w:sz w:val="24"/>
          <w:szCs w:val="24"/>
        </w:rPr>
      </w:pPr>
      <w:r w:rsidRPr="000E35B9">
        <w:rPr>
          <w:rFonts w:ascii="Times New Roman" w:hAnsi="Times New Roman"/>
          <w:sz w:val="24"/>
          <w:szCs w:val="24"/>
        </w:rPr>
        <w:t xml:space="preserve">Borsa dışında taraf olunan sözleşmelerin III-52.1 sayılı Yatırım Fonlarına İlişkin Esaslar Tebliği’nin 19. maddesinin 3. fırkasının (c) alt bendi ve aynı maddenin 4. </w:t>
      </w:r>
      <w:r>
        <w:rPr>
          <w:rFonts w:ascii="Times New Roman" w:hAnsi="Times New Roman"/>
          <w:sz w:val="24"/>
          <w:szCs w:val="24"/>
        </w:rPr>
        <w:t>f</w:t>
      </w:r>
      <w:r w:rsidRPr="000E35B9">
        <w:rPr>
          <w:rFonts w:ascii="Times New Roman" w:hAnsi="Times New Roman"/>
          <w:sz w:val="24"/>
          <w:szCs w:val="24"/>
        </w:rPr>
        <w:t xml:space="preserve">ırkasında yer alan niteliklere uygunluğunun sağlanması için fon içtüzüklerinde belirlenen yöntemlerin uygulanıp uygulanmadığının tespiti de </w:t>
      </w:r>
      <w:proofErr w:type="gramStart"/>
      <w:r w:rsidRPr="000E35B9">
        <w:rPr>
          <w:rFonts w:ascii="Times New Roman" w:hAnsi="Times New Roman"/>
          <w:sz w:val="24"/>
          <w:szCs w:val="24"/>
        </w:rPr>
        <w:t>dahil</w:t>
      </w:r>
      <w:proofErr w:type="gramEnd"/>
      <w:r w:rsidRPr="000E35B9">
        <w:rPr>
          <w:rFonts w:ascii="Times New Roman" w:hAnsi="Times New Roman"/>
          <w:sz w:val="24"/>
          <w:szCs w:val="24"/>
        </w:rPr>
        <w:t xml:space="preserve"> olmak üzere birim pay değerinin mevzuata, içtüzük ve </w:t>
      </w:r>
      <w:proofErr w:type="spellStart"/>
      <w:r w:rsidRPr="000E35B9">
        <w:rPr>
          <w:rFonts w:ascii="Times New Roman" w:hAnsi="Times New Roman"/>
          <w:sz w:val="24"/>
          <w:szCs w:val="24"/>
        </w:rPr>
        <w:t>izahnamede</w:t>
      </w:r>
      <w:proofErr w:type="spellEnd"/>
      <w:r w:rsidRPr="000E35B9">
        <w:rPr>
          <w:rFonts w:ascii="Times New Roman" w:hAnsi="Times New Roman"/>
          <w:sz w:val="24"/>
          <w:szCs w:val="24"/>
        </w:rPr>
        <w:t xml:space="preserve"> belirlenen değerleme ilkelerine uygun olarak hesaplanıp hesaplanmadığı konusundaki görüş </w:t>
      </w:r>
      <w:proofErr w:type="spellStart"/>
      <w:r w:rsidRPr="000E35B9">
        <w:rPr>
          <w:rFonts w:ascii="Times New Roman" w:hAnsi="Times New Roman"/>
          <w:sz w:val="24"/>
          <w:szCs w:val="24"/>
        </w:rPr>
        <w:t>olumlu’dur</w:t>
      </w:r>
      <w:proofErr w:type="spellEnd"/>
      <w:r w:rsidRPr="000E35B9">
        <w:rPr>
          <w:rFonts w:ascii="Times New Roman" w:hAnsi="Times New Roman"/>
          <w:sz w:val="24"/>
          <w:szCs w:val="24"/>
        </w:rPr>
        <w:t>.</w:t>
      </w:r>
    </w:p>
    <w:p w:rsidR="00EA1CB3" w:rsidRPr="000E35B9" w:rsidRDefault="00EA1CB3" w:rsidP="00EA1CB3">
      <w:pPr>
        <w:pStyle w:val="ListeParagraf"/>
        <w:autoSpaceDE w:val="0"/>
        <w:autoSpaceDN w:val="0"/>
        <w:adjustRightInd w:val="0"/>
        <w:spacing w:after="0" w:line="340" w:lineRule="atLeast"/>
        <w:ind w:left="0"/>
        <w:jc w:val="both"/>
        <w:rPr>
          <w:rFonts w:ascii="Times New Roman" w:hAnsi="Times New Roman"/>
          <w:sz w:val="24"/>
          <w:szCs w:val="24"/>
        </w:rPr>
      </w:pPr>
    </w:p>
    <w:p w:rsidR="00EA1CB3" w:rsidRPr="000E35B9" w:rsidRDefault="00EA1CB3" w:rsidP="00EA1CB3">
      <w:pPr>
        <w:pStyle w:val="ListeParagraf"/>
        <w:numPr>
          <w:ilvl w:val="0"/>
          <w:numId w:val="2"/>
        </w:numPr>
        <w:autoSpaceDE w:val="0"/>
        <w:autoSpaceDN w:val="0"/>
        <w:adjustRightInd w:val="0"/>
        <w:spacing w:after="0" w:line="340" w:lineRule="atLeast"/>
        <w:ind w:hanging="72"/>
        <w:jc w:val="both"/>
        <w:rPr>
          <w:rFonts w:ascii="Times New Roman" w:hAnsi="Times New Roman"/>
          <w:sz w:val="24"/>
          <w:szCs w:val="24"/>
        </w:rPr>
      </w:pPr>
      <w:r w:rsidRPr="000E35B9">
        <w:rPr>
          <w:rFonts w:ascii="Times New Roman" w:hAnsi="Times New Roman"/>
          <w:sz w:val="24"/>
          <w:szCs w:val="24"/>
        </w:rPr>
        <w:t xml:space="preserve">Risk kontrol sistemini de içeren iç kontrol sistemi konusundaki görüş </w:t>
      </w:r>
      <w:proofErr w:type="spellStart"/>
      <w:r w:rsidRPr="000E35B9">
        <w:rPr>
          <w:rFonts w:ascii="Times New Roman" w:hAnsi="Times New Roman"/>
          <w:sz w:val="24"/>
          <w:szCs w:val="24"/>
        </w:rPr>
        <w:t>olumlu’dur</w:t>
      </w:r>
      <w:proofErr w:type="spellEnd"/>
      <w:r w:rsidRPr="000E35B9">
        <w:rPr>
          <w:rFonts w:ascii="Times New Roman" w:hAnsi="Times New Roman"/>
          <w:sz w:val="24"/>
          <w:szCs w:val="24"/>
        </w:rPr>
        <w:t>.</w:t>
      </w:r>
    </w:p>
    <w:p w:rsidR="00EA1CB3" w:rsidRPr="000E35B9" w:rsidRDefault="00EA1CB3" w:rsidP="00EA1CB3">
      <w:pPr>
        <w:pStyle w:val="ListeParagraf"/>
        <w:autoSpaceDE w:val="0"/>
        <w:autoSpaceDN w:val="0"/>
        <w:adjustRightInd w:val="0"/>
        <w:spacing w:after="0" w:line="340" w:lineRule="atLeast"/>
        <w:ind w:left="0"/>
        <w:jc w:val="both"/>
        <w:rPr>
          <w:rFonts w:ascii="Times New Roman" w:hAnsi="Times New Roman"/>
          <w:sz w:val="24"/>
          <w:szCs w:val="24"/>
        </w:rPr>
      </w:pPr>
    </w:p>
    <w:p w:rsidR="00EA1CB3" w:rsidRPr="000E35B9" w:rsidRDefault="00EA1CB3" w:rsidP="00EA1CB3">
      <w:pPr>
        <w:pStyle w:val="ListeParagraf"/>
        <w:numPr>
          <w:ilvl w:val="0"/>
          <w:numId w:val="1"/>
        </w:numPr>
        <w:spacing w:line="340" w:lineRule="atLeast"/>
        <w:ind w:left="567" w:hanging="207"/>
        <w:jc w:val="both"/>
        <w:rPr>
          <w:rFonts w:ascii="Times New Roman" w:hAnsi="Times New Roman"/>
          <w:sz w:val="24"/>
          <w:szCs w:val="24"/>
        </w:rPr>
      </w:pPr>
      <w:r w:rsidRPr="000E35B9">
        <w:rPr>
          <w:rFonts w:ascii="Times New Roman" w:hAnsi="Times New Roman"/>
          <w:sz w:val="24"/>
          <w:szCs w:val="24"/>
        </w:rPr>
        <w:t>Özel bağımsız denetimden geçmiş finansal tablolar ve bağımsız denetim raporu ilgili dönemin bitiminden itibaren 1 ay içerisinde Merkezi Kayıt Kuruluşu A.Ş. Kamuyu Aydınlatma Platformu’nda (KAP) ilan edilmiştir.</w:t>
      </w:r>
    </w:p>
    <w:p w:rsidR="00EA1CB3" w:rsidRPr="000E35B9" w:rsidRDefault="00EA1CB3" w:rsidP="00EA1CB3">
      <w:pPr>
        <w:pStyle w:val="ListeParagraf"/>
        <w:spacing w:line="340" w:lineRule="atLeast"/>
        <w:ind w:left="0"/>
        <w:jc w:val="both"/>
        <w:rPr>
          <w:rFonts w:ascii="Times New Roman" w:hAnsi="Times New Roman"/>
          <w:sz w:val="24"/>
          <w:szCs w:val="24"/>
        </w:rPr>
      </w:pPr>
    </w:p>
    <w:p w:rsidR="00EA1CB3" w:rsidRPr="000E35B9" w:rsidRDefault="00EA1CB3" w:rsidP="00EA1CB3">
      <w:pPr>
        <w:pStyle w:val="ListeParagraf"/>
        <w:numPr>
          <w:ilvl w:val="0"/>
          <w:numId w:val="1"/>
        </w:numPr>
        <w:spacing w:line="340" w:lineRule="atLeast"/>
        <w:jc w:val="both"/>
        <w:rPr>
          <w:rFonts w:ascii="Times New Roman" w:hAnsi="Times New Roman"/>
          <w:sz w:val="24"/>
          <w:szCs w:val="24"/>
        </w:rPr>
      </w:pPr>
      <w:r w:rsidRPr="000E35B9">
        <w:rPr>
          <w:rFonts w:ascii="Times New Roman" w:hAnsi="Times New Roman"/>
          <w:sz w:val="24"/>
          <w:szCs w:val="24"/>
        </w:rPr>
        <w:t xml:space="preserve">Özel bağımsız denetim raporu ve Fon’un bağlı bulunduğu şemsiye fonun bağımsız denetim raporu </w:t>
      </w:r>
      <w:proofErr w:type="spellStart"/>
      <w:r w:rsidRPr="000E35B9">
        <w:rPr>
          <w:rFonts w:ascii="Times New Roman" w:hAnsi="Times New Roman"/>
          <w:sz w:val="24"/>
          <w:szCs w:val="24"/>
        </w:rPr>
        <w:t>Kurucu’nun</w:t>
      </w:r>
      <w:proofErr w:type="spellEnd"/>
      <w:r w:rsidRPr="000E35B9">
        <w:rPr>
          <w:rFonts w:ascii="Times New Roman" w:hAnsi="Times New Roman"/>
          <w:sz w:val="24"/>
          <w:szCs w:val="24"/>
        </w:rPr>
        <w:t xml:space="preserve"> şirket resmi internet adresi ve </w:t>
      </w:r>
      <w:proofErr w:type="spellStart"/>
      <w:r w:rsidRPr="000E35B9">
        <w:rPr>
          <w:rFonts w:ascii="Times New Roman" w:hAnsi="Times New Roman"/>
          <w:sz w:val="24"/>
          <w:szCs w:val="24"/>
        </w:rPr>
        <w:t>KAP’ta</w:t>
      </w:r>
      <w:proofErr w:type="spellEnd"/>
      <w:r w:rsidRPr="000E35B9">
        <w:rPr>
          <w:rFonts w:ascii="Times New Roman" w:hAnsi="Times New Roman"/>
          <w:sz w:val="24"/>
          <w:szCs w:val="24"/>
        </w:rPr>
        <w:t xml:space="preserve"> yayımlanmaktadır. İlgili internet</w:t>
      </w:r>
      <w:r>
        <w:rPr>
          <w:rFonts w:ascii="Times New Roman" w:hAnsi="Times New Roman"/>
          <w:sz w:val="24"/>
          <w:szCs w:val="24"/>
        </w:rPr>
        <w:t xml:space="preserve"> adreslerinin</w:t>
      </w:r>
      <w:r w:rsidRPr="000E35B9">
        <w:rPr>
          <w:rFonts w:ascii="Times New Roman" w:hAnsi="Times New Roman"/>
          <w:sz w:val="24"/>
          <w:szCs w:val="24"/>
        </w:rPr>
        <w:t xml:space="preserve"> link</w:t>
      </w:r>
      <w:r>
        <w:rPr>
          <w:rFonts w:ascii="Times New Roman" w:hAnsi="Times New Roman"/>
          <w:sz w:val="24"/>
          <w:szCs w:val="24"/>
        </w:rPr>
        <w:t>ler</w:t>
      </w:r>
      <w:r w:rsidRPr="000E35B9">
        <w:rPr>
          <w:rFonts w:ascii="Times New Roman" w:hAnsi="Times New Roman"/>
          <w:sz w:val="24"/>
          <w:szCs w:val="24"/>
        </w:rPr>
        <w:t>i</w:t>
      </w:r>
      <w:r>
        <w:rPr>
          <w:rFonts w:ascii="Times New Roman" w:hAnsi="Times New Roman"/>
          <w:sz w:val="24"/>
          <w:szCs w:val="24"/>
        </w:rPr>
        <w:t>;</w:t>
      </w:r>
      <w:r w:rsidRPr="000E35B9">
        <w:rPr>
          <w:rFonts w:ascii="Times New Roman" w:hAnsi="Times New Roman"/>
          <w:sz w:val="24"/>
          <w:szCs w:val="24"/>
        </w:rPr>
        <w:t xml:space="preserve"> </w:t>
      </w:r>
      <w:proofErr w:type="gramStart"/>
      <w:r>
        <w:rPr>
          <w:rStyle w:val="Kpr"/>
        </w:rPr>
        <w:t>……</w:t>
      </w:r>
      <w:proofErr w:type="gramEnd"/>
      <w:r w:rsidRPr="000E35B9">
        <w:rPr>
          <w:rFonts w:ascii="Times New Roman" w:hAnsi="Times New Roman"/>
          <w:sz w:val="24"/>
          <w:szCs w:val="24"/>
        </w:rPr>
        <w:t>‘</w:t>
      </w:r>
      <w:proofErr w:type="spellStart"/>
      <w:r w:rsidRPr="000E35B9">
        <w:rPr>
          <w:rFonts w:ascii="Times New Roman" w:hAnsi="Times New Roman"/>
          <w:sz w:val="24"/>
          <w:szCs w:val="24"/>
        </w:rPr>
        <w:t>d</w:t>
      </w:r>
      <w:r>
        <w:rPr>
          <w:rFonts w:ascii="Times New Roman" w:hAnsi="Times New Roman"/>
          <w:sz w:val="24"/>
          <w:szCs w:val="24"/>
        </w:rPr>
        <w:t>ir</w:t>
      </w:r>
      <w:proofErr w:type="spellEnd"/>
      <w:r w:rsidRPr="000E35B9">
        <w:rPr>
          <w:rFonts w:ascii="Times New Roman" w:hAnsi="Times New Roman"/>
          <w:sz w:val="24"/>
          <w:szCs w:val="24"/>
        </w:rPr>
        <w:t>.</w:t>
      </w:r>
    </w:p>
    <w:p w:rsidR="00EA1CB3" w:rsidRPr="000E35B9" w:rsidRDefault="00EA1CB3" w:rsidP="00EA1CB3">
      <w:pPr>
        <w:pStyle w:val="ListeParagraf"/>
        <w:rPr>
          <w:rFonts w:ascii="Times New Roman" w:hAnsi="Times New Roman"/>
          <w:sz w:val="24"/>
          <w:szCs w:val="24"/>
        </w:rPr>
      </w:pPr>
    </w:p>
    <w:p w:rsidR="00EA1CB3" w:rsidRDefault="00EA1CB3" w:rsidP="00EA1CB3">
      <w:pPr>
        <w:pStyle w:val="ListeParagraf"/>
        <w:numPr>
          <w:ilvl w:val="0"/>
          <w:numId w:val="1"/>
        </w:numPr>
        <w:spacing w:line="240" w:lineRule="auto"/>
        <w:ind w:left="567" w:hanging="207"/>
        <w:jc w:val="both"/>
        <w:rPr>
          <w:rFonts w:ascii="Times New Roman" w:hAnsi="Times New Roman"/>
          <w:sz w:val="24"/>
          <w:szCs w:val="24"/>
        </w:rPr>
      </w:pPr>
      <w:r w:rsidRPr="000E35B9">
        <w:rPr>
          <w:rFonts w:ascii="Times New Roman" w:hAnsi="Times New Roman"/>
          <w:sz w:val="24"/>
          <w:szCs w:val="24"/>
        </w:rPr>
        <w:t xml:space="preserve">Yatırım döneminin son gününe ait fon </w:t>
      </w:r>
      <w:proofErr w:type="gramStart"/>
      <w:r w:rsidRPr="000E35B9">
        <w:rPr>
          <w:rFonts w:ascii="Times New Roman" w:hAnsi="Times New Roman"/>
          <w:sz w:val="24"/>
          <w:szCs w:val="24"/>
        </w:rPr>
        <w:t>portföy</w:t>
      </w:r>
      <w:proofErr w:type="gramEnd"/>
      <w:r w:rsidRPr="000E35B9">
        <w:rPr>
          <w:rFonts w:ascii="Times New Roman" w:hAnsi="Times New Roman"/>
          <w:sz w:val="24"/>
          <w:szCs w:val="24"/>
        </w:rPr>
        <w:t xml:space="preserve"> değer ve fon toplam değer tabloları </w:t>
      </w:r>
      <w:r w:rsidRPr="000E35B9">
        <w:rPr>
          <w:rFonts w:ascii="Times New Roman" w:hAnsi="Times New Roman"/>
          <w:b/>
          <w:sz w:val="24"/>
          <w:szCs w:val="24"/>
        </w:rPr>
        <w:t>Ek/2</w:t>
      </w:r>
      <w:r w:rsidRPr="000E35B9">
        <w:rPr>
          <w:rFonts w:ascii="Times New Roman" w:hAnsi="Times New Roman"/>
          <w:sz w:val="24"/>
          <w:szCs w:val="24"/>
        </w:rPr>
        <w:t>’de yer almaktadır.</w:t>
      </w:r>
    </w:p>
    <w:p w:rsidR="00EA1CB3" w:rsidRPr="00275919" w:rsidRDefault="00EA1CB3" w:rsidP="00EA1CB3">
      <w:pPr>
        <w:pStyle w:val="ListeParagraf"/>
        <w:spacing w:line="240" w:lineRule="auto"/>
        <w:ind w:left="0"/>
        <w:jc w:val="both"/>
        <w:rPr>
          <w:rFonts w:ascii="Times New Roman" w:hAnsi="Times New Roman"/>
          <w:sz w:val="24"/>
          <w:szCs w:val="24"/>
        </w:rPr>
      </w:pPr>
    </w:p>
    <w:p w:rsidR="00EA1CB3" w:rsidRPr="00275919" w:rsidRDefault="00EA1CB3" w:rsidP="00EA1CB3">
      <w:pPr>
        <w:pStyle w:val="ListeParagraf"/>
        <w:numPr>
          <w:ilvl w:val="0"/>
          <w:numId w:val="1"/>
        </w:numPr>
        <w:spacing w:line="240" w:lineRule="auto"/>
        <w:ind w:left="567" w:hanging="207"/>
        <w:jc w:val="both"/>
        <w:rPr>
          <w:rFonts w:ascii="Times New Roman" w:hAnsi="Times New Roman"/>
          <w:sz w:val="24"/>
          <w:szCs w:val="24"/>
        </w:rPr>
      </w:pPr>
      <w:r w:rsidRPr="000E35B9">
        <w:rPr>
          <w:rFonts w:ascii="Times New Roman" w:hAnsi="Times New Roman"/>
          <w:sz w:val="24"/>
          <w:szCs w:val="24"/>
        </w:rPr>
        <w:t>Fon’a ilişkin genel b</w:t>
      </w:r>
      <w:r>
        <w:rPr>
          <w:rFonts w:ascii="Times New Roman" w:hAnsi="Times New Roman"/>
          <w:sz w:val="24"/>
          <w:szCs w:val="24"/>
        </w:rPr>
        <w:t>ilgiler aşağıda yer almaktadır;</w:t>
      </w:r>
    </w:p>
    <w:tbl>
      <w:tblPr>
        <w:tblpPr w:leftFromText="141" w:rightFromText="141" w:vertAnchor="text" w:horzAnchor="margin" w:tblpX="-318" w:tblpY="210"/>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7972"/>
      </w:tblGrid>
      <w:tr w:rsidR="00EA1CB3" w:rsidRPr="000E35B9" w:rsidTr="00EC7CA0">
        <w:trPr>
          <w:trHeight w:val="1975"/>
        </w:trPr>
        <w:tc>
          <w:tcPr>
            <w:tcW w:w="2235" w:type="dxa"/>
          </w:tcPr>
          <w:p w:rsidR="00EA1CB3" w:rsidRPr="000E35B9" w:rsidRDefault="00EA1CB3" w:rsidP="00EC7CA0">
            <w:pPr>
              <w:rPr>
                <w:rFonts w:ascii="Times New Roman" w:hAnsi="Times New Roman"/>
                <w:b/>
                <w:szCs w:val="24"/>
              </w:rPr>
            </w:pPr>
            <w:r>
              <w:rPr>
                <w:rFonts w:ascii="Times New Roman" w:hAnsi="Times New Roman"/>
                <w:b/>
                <w:szCs w:val="24"/>
              </w:rPr>
              <w:lastRenderedPageBreak/>
              <w:t xml:space="preserve">… Portföy </w:t>
            </w:r>
            <w:proofErr w:type="gramStart"/>
            <w:r>
              <w:rPr>
                <w:rFonts w:ascii="Times New Roman" w:hAnsi="Times New Roman"/>
                <w:b/>
                <w:szCs w:val="24"/>
              </w:rPr>
              <w:t>….</w:t>
            </w:r>
            <w:proofErr w:type="gramEnd"/>
            <w:r>
              <w:rPr>
                <w:rFonts w:ascii="Times New Roman" w:hAnsi="Times New Roman"/>
                <w:b/>
                <w:szCs w:val="24"/>
              </w:rPr>
              <w:t>Yatırım Yapan …..</w:t>
            </w:r>
            <w:r w:rsidRPr="000E35B9">
              <w:rPr>
                <w:rFonts w:ascii="Times New Roman" w:hAnsi="Times New Roman"/>
                <w:b/>
                <w:szCs w:val="24"/>
              </w:rPr>
              <w:t>Fon</w:t>
            </w:r>
          </w:p>
        </w:tc>
        <w:tc>
          <w:tcPr>
            <w:tcW w:w="7972" w:type="dxa"/>
            <w:tcBorders>
              <w:bottom w:val="single" w:sz="4" w:space="0" w:color="auto"/>
            </w:tcBorders>
          </w:tcPr>
          <w:p w:rsidR="00EA1CB3" w:rsidRPr="000E35B9" w:rsidRDefault="00EA1CB3" w:rsidP="00EC7CA0">
            <w:pPr>
              <w:pStyle w:val="ListeParagraf"/>
              <w:spacing w:after="0" w:line="240" w:lineRule="auto"/>
              <w:ind w:left="0"/>
              <w:jc w:val="both"/>
              <w:rPr>
                <w:rFonts w:ascii="Times New Roman" w:hAnsi="Times New Roman"/>
                <w:sz w:val="24"/>
                <w:szCs w:val="24"/>
              </w:rPr>
            </w:pPr>
          </w:p>
        </w:tc>
      </w:tr>
      <w:tr w:rsidR="00EA1CB3" w:rsidRPr="000E35B9" w:rsidTr="00EC7CA0">
        <w:trPr>
          <w:trHeight w:val="958"/>
        </w:trPr>
        <w:tc>
          <w:tcPr>
            <w:tcW w:w="2235" w:type="dxa"/>
            <w:tcBorders>
              <w:right w:val="single" w:sz="4" w:space="0" w:color="auto"/>
            </w:tcBorders>
          </w:tcPr>
          <w:p w:rsidR="00EA1CB3" w:rsidRPr="000E35B9" w:rsidRDefault="00EA1CB3" w:rsidP="00EC7CA0">
            <w:pPr>
              <w:pStyle w:val="ListeParagraf"/>
              <w:spacing w:after="0" w:line="240" w:lineRule="auto"/>
              <w:ind w:left="0"/>
              <w:jc w:val="both"/>
              <w:rPr>
                <w:rFonts w:ascii="Times New Roman" w:hAnsi="Times New Roman"/>
                <w:sz w:val="24"/>
                <w:szCs w:val="24"/>
              </w:rPr>
            </w:pPr>
            <w:r w:rsidRPr="000E35B9">
              <w:rPr>
                <w:rFonts w:ascii="Times New Roman" w:hAnsi="Times New Roman"/>
                <w:b/>
                <w:bCs/>
                <w:sz w:val="24"/>
                <w:szCs w:val="24"/>
                <w:lang w:eastAsia="tr-TR"/>
              </w:rPr>
              <w:t>Portföyün Oluştuğu Günkü Fon Tutarı (TL)</w:t>
            </w:r>
          </w:p>
        </w:tc>
        <w:tc>
          <w:tcPr>
            <w:tcW w:w="7972" w:type="dxa"/>
            <w:tcBorders>
              <w:top w:val="single" w:sz="4" w:space="0" w:color="auto"/>
              <w:left w:val="single" w:sz="4" w:space="0" w:color="auto"/>
              <w:bottom w:val="single" w:sz="4" w:space="0" w:color="auto"/>
              <w:right w:val="single" w:sz="4" w:space="0" w:color="auto"/>
            </w:tcBorders>
            <w:shd w:val="clear" w:color="auto" w:fill="auto"/>
          </w:tcPr>
          <w:p w:rsidR="00EA1CB3" w:rsidRPr="000E35B9" w:rsidRDefault="00EA1CB3" w:rsidP="00EC7CA0">
            <w:pPr>
              <w:pStyle w:val="ListeParagraf"/>
              <w:spacing w:after="0" w:line="240" w:lineRule="auto"/>
              <w:ind w:left="0"/>
              <w:jc w:val="both"/>
            </w:pPr>
          </w:p>
        </w:tc>
      </w:tr>
      <w:tr w:rsidR="00EA1CB3" w:rsidRPr="000E35B9" w:rsidTr="00EC7CA0">
        <w:trPr>
          <w:trHeight w:val="685"/>
        </w:trPr>
        <w:tc>
          <w:tcPr>
            <w:tcW w:w="2235" w:type="dxa"/>
            <w:tcBorders>
              <w:right w:val="single" w:sz="4" w:space="0" w:color="auto"/>
            </w:tcBorders>
          </w:tcPr>
          <w:p w:rsidR="00EA1CB3" w:rsidRPr="000E35B9" w:rsidRDefault="00EA1CB3" w:rsidP="00EC7CA0">
            <w:pPr>
              <w:pStyle w:val="ListeParagraf"/>
              <w:spacing w:after="0" w:line="240" w:lineRule="auto"/>
              <w:ind w:left="0"/>
              <w:jc w:val="both"/>
              <w:rPr>
                <w:rFonts w:ascii="Times New Roman" w:hAnsi="Times New Roman"/>
                <w:sz w:val="24"/>
                <w:szCs w:val="24"/>
              </w:rPr>
            </w:pPr>
            <w:r w:rsidRPr="000E35B9">
              <w:rPr>
                <w:rFonts w:ascii="Times New Roman" w:hAnsi="Times New Roman"/>
                <w:b/>
                <w:bCs/>
                <w:sz w:val="24"/>
                <w:szCs w:val="24"/>
                <w:lang w:eastAsia="tr-TR"/>
              </w:rPr>
              <w:t>Portföyün Oluştuğu Günkü Pay Sayısı</w:t>
            </w:r>
          </w:p>
        </w:tc>
        <w:tc>
          <w:tcPr>
            <w:tcW w:w="7972" w:type="dxa"/>
            <w:tcBorders>
              <w:top w:val="single" w:sz="4" w:space="0" w:color="auto"/>
              <w:left w:val="single" w:sz="4" w:space="0" w:color="auto"/>
              <w:bottom w:val="single" w:sz="4" w:space="0" w:color="auto"/>
              <w:right w:val="single" w:sz="4" w:space="0" w:color="auto"/>
            </w:tcBorders>
            <w:shd w:val="clear" w:color="auto" w:fill="auto"/>
          </w:tcPr>
          <w:p w:rsidR="00EA1CB3" w:rsidRPr="000E35B9" w:rsidRDefault="00EA1CB3" w:rsidP="00EC7CA0">
            <w:pPr>
              <w:pStyle w:val="ListeParagraf"/>
              <w:spacing w:after="0" w:line="240" w:lineRule="auto"/>
              <w:ind w:left="0"/>
              <w:jc w:val="both"/>
            </w:pPr>
          </w:p>
        </w:tc>
      </w:tr>
      <w:tr w:rsidR="00EA1CB3" w:rsidRPr="000E35B9" w:rsidTr="00EC7CA0">
        <w:trPr>
          <w:trHeight w:val="1841"/>
        </w:trPr>
        <w:tc>
          <w:tcPr>
            <w:tcW w:w="2235" w:type="dxa"/>
          </w:tcPr>
          <w:p w:rsidR="00EA1CB3" w:rsidRPr="000E35B9" w:rsidRDefault="00EA1CB3" w:rsidP="00EC7CA0">
            <w:pPr>
              <w:pStyle w:val="ListeParagraf"/>
              <w:spacing w:after="0" w:line="240" w:lineRule="auto"/>
              <w:ind w:left="0"/>
              <w:jc w:val="both"/>
              <w:rPr>
                <w:rFonts w:ascii="Times New Roman" w:hAnsi="Times New Roman"/>
                <w:b/>
                <w:bCs/>
                <w:sz w:val="24"/>
                <w:szCs w:val="24"/>
                <w:lang w:eastAsia="tr-TR"/>
              </w:rPr>
            </w:pPr>
            <w:r w:rsidRPr="000E35B9">
              <w:rPr>
                <w:rFonts w:ascii="Times New Roman" w:hAnsi="Times New Roman"/>
                <w:b/>
                <w:bCs/>
                <w:sz w:val="24"/>
                <w:szCs w:val="24"/>
                <w:lang w:eastAsia="tr-TR"/>
              </w:rPr>
              <w:t>Portföyün Oluştuğu Günkü Opsiyon Karşı Taraf Riski Oranı (%)</w:t>
            </w:r>
          </w:p>
        </w:tc>
        <w:tc>
          <w:tcPr>
            <w:tcW w:w="7972" w:type="dxa"/>
            <w:tcBorders>
              <w:top w:val="single" w:sz="4" w:space="0" w:color="auto"/>
            </w:tcBorders>
          </w:tcPr>
          <w:p w:rsidR="00EA1CB3" w:rsidRPr="000E35B9" w:rsidRDefault="00EA1CB3" w:rsidP="00EC7CA0">
            <w:pPr>
              <w:pStyle w:val="ListeParagraf"/>
              <w:spacing w:after="0" w:line="240" w:lineRule="auto"/>
              <w:ind w:left="0"/>
              <w:jc w:val="both"/>
              <w:rPr>
                <w:rFonts w:ascii="Times New Roman" w:hAnsi="Times New Roman"/>
                <w:sz w:val="24"/>
                <w:szCs w:val="24"/>
              </w:rPr>
            </w:pPr>
          </w:p>
        </w:tc>
      </w:tr>
      <w:tr w:rsidR="00EA1CB3" w:rsidRPr="000E35B9" w:rsidTr="00EC7CA0">
        <w:trPr>
          <w:trHeight w:val="419"/>
        </w:trPr>
        <w:tc>
          <w:tcPr>
            <w:tcW w:w="2235" w:type="dxa"/>
          </w:tcPr>
          <w:p w:rsidR="00EA1CB3" w:rsidRPr="000E35B9" w:rsidRDefault="00EA1CB3" w:rsidP="00EC7CA0">
            <w:pPr>
              <w:pStyle w:val="ListeParagraf"/>
              <w:spacing w:after="0" w:line="240" w:lineRule="auto"/>
              <w:ind w:left="0"/>
              <w:jc w:val="both"/>
              <w:rPr>
                <w:rFonts w:ascii="Times New Roman" w:hAnsi="Times New Roman"/>
                <w:b/>
                <w:bCs/>
                <w:sz w:val="24"/>
                <w:szCs w:val="24"/>
                <w:lang w:eastAsia="tr-TR"/>
              </w:rPr>
            </w:pPr>
            <w:r w:rsidRPr="000E35B9">
              <w:rPr>
                <w:rFonts w:ascii="Times New Roman" w:hAnsi="Times New Roman"/>
                <w:b/>
                <w:bCs/>
                <w:sz w:val="24"/>
                <w:szCs w:val="24"/>
                <w:lang w:eastAsia="tr-TR"/>
              </w:rPr>
              <w:t>Opsiyon İştirak Oranı (%)</w:t>
            </w:r>
          </w:p>
        </w:tc>
        <w:tc>
          <w:tcPr>
            <w:tcW w:w="7972" w:type="dxa"/>
          </w:tcPr>
          <w:p w:rsidR="00EA1CB3" w:rsidRPr="000E35B9" w:rsidRDefault="00EA1CB3" w:rsidP="00EC7CA0">
            <w:pPr>
              <w:pStyle w:val="ListeParagraf"/>
              <w:spacing w:after="0" w:line="240" w:lineRule="auto"/>
              <w:ind w:left="0"/>
              <w:jc w:val="both"/>
              <w:rPr>
                <w:rFonts w:ascii="Times New Roman" w:hAnsi="Times New Roman"/>
                <w:sz w:val="24"/>
                <w:szCs w:val="24"/>
              </w:rPr>
            </w:pPr>
          </w:p>
        </w:tc>
      </w:tr>
      <w:tr w:rsidR="00EA1CB3" w:rsidRPr="000E35B9" w:rsidTr="00EC7CA0">
        <w:trPr>
          <w:trHeight w:val="454"/>
        </w:trPr>
        <w:tc>
          <w:tcPr>
            <w:tcW w:w="2235" w:type="dxa"/>
          </w:tcPr>
          <w:p w:rsidR="00EA1CB3" w:rsidRPr="000E35B9" w:rsidRDefault="00EA1CB3" w:rsidP="00EC7CA0">
            <w:pPr>
              <w:pStyle w:val="ListeParagraf"/>
              <w:spacing w:after="0" w:line="240" w:lineRule="auto"/>
              <w:ind w:left="0"/>
              <w:jc w:val="both"/>
              <w:rPr>
                <w:rFonts w:ascii="Times New Roman" w:hAnsi="Times New Roman"/>
                <w:b/>
                <w:bCs/>
                <w:sz w:val="24"/>
                <w:szCs w:val="24"/>
                <w:lang w:eastAsia="tr-TR"/>
              </w:rPr>
            </w:pPr>
            <w:r w:rsidRPr="000E35B9">
              <w:rPr>
                <w:rFonts w:ascii="Times New Roman" w:hAnsi="Times New Roman"/>
                <w:b/>
                <w:bCs/>
                <w:sz w:val="24"/>
                <w:szCs w:val="24"/>
                <w:lang w:eastAsia="tr-TR"/>
              </w:rPr>
              <w:t>Portföydeki Varlıkların Dağılım Oranları (%)</w:t>
            </w:r>
          </w:p>
        </w:tc>
        <w:tc>
          <w:tcPr>
            <w:tcW w:w="7972" w:type="dxa"/>
          </w:tcPr>
          <w:p w:rsidR="00EA1CB3" w:rsidRPr="000E35B9" w:rsidRDefault="00EA1CB3" w:rsidP="00EC7CA0">
            <w:pPr>
              <w:pStyle w:val="ListeParagraf"/>
              <w:spacing w:after="0" w:line="240" w:lineRule="auto"/>
              <w:ind w:left="0"/>
              <w:jc w:val="both"/>
              <w:rPr>
                <w:rFonts w:ascii="Times New Roman" w:hAnsi="Times New Roman"/>
                <w:sz w:val="24"/>
                <w:szCs w:val="24"/>
              </w:rPr>
            </w:pPr>
          </w:p>
        </w:tc>
      </w:tr>
      <w:tr w:rsidR="00EA1CB3" w:rsidRPr="000E35B9" w:rsidTr="00EC7CA0">
        <w:trPr>
          <w:trHeight w:val="227"/>
        </w:trPr>
        <w:tc>
          <w:tcPr>
            <w:tcW w:w="2235" w:type="dxa"/>
          </w:tcPr>
          <w:p w:rsidR="00EA1CB3" w:rsidRPr="000E35B9" w:rsidRDefault="00EA1CB3" w:rsidP="00EC7CA0">
            <w:pPr>
              <w:pStyle w:val="ListeParagraf"/>
              <w:spacing w:after="0" w:line="240" w:lineRule="auto"/>
              <w:ind w:left="0"/>
              <w:jc w:val="both"/>
              <w:rPr>
                <w:rFonts w:ascii="Times New Roman" w:hAnsi="Times New Roman"/>
                <w:sz w:val="24"/>
                <w:szCs w:val="24"/>
              </w:rPr>
            </w:pPr>
            <w:r w:rsidRPr="000E35B9">
              <w:rPr>
                <w:rFonts w:ascii="Times New Roman" w:hAnsi="Times New Roman"/>
                <w:b/>
                <w:bCs/>
                <w:sz w:val="24"/>
                <w:szCs w:val="24"/>
                <w:lang w:eastAsia="tr-TR"/>
              </w:rPr>
              <w:t>Talep Toplama Dönemi</w:t>
            </w:r>
          </w:p>
        </w:tc>
        <w:tc>
          <w:tcPr>
            <w:tcW w:w="7972" w:type="dxa"/>
          </w:tcPr>
          <w:p w:rsidR="00EA1CB3" w:rsidRPr="000E35B9" w:rsidRDefault="00EA1CB3" w:rsidP="00EC7CA0">
            <w:pPr>
              <w:pStyle w:val="ListeParagraf"/>
              <w:spacing w:after="0" w:line="240" w:lineRule="auto"/>
              <w:ind w:left="0"/>
              <w:jc w:val="both"/>
              <w:rPr>
                <w:rFonts w:ascii="Times New Roman" w:hAnsi="Times New Roman"/>
                <w:sz w:val="24"/>
                <w:szCs w:val="24"/>
              </w:rPr>
            </w:pPr>
          </w:p>
        </w:tc>
      </w:tr>
      <w:tr w:rsidR="00EA1CB3" w:rsidRPr="000E35B9" w:rsidTr="00EC7CA0">
        <w:trPr>
          <w:trHeight w:val="436"/>
        </w:trPr>
        <w:tc>
          <w:tcPr>
            <w:tcW w:w="2235" w:type="dxa"/>
          </w:tcPr>
          <w:p w:rsidR="00EA1CB3" w:rsidRPr="000E35B9" w:rsidRDefault="00EA1CB3" w:rsidP="00EC7CA0">
            <w:pPr>
              <w:pStyle w:val="ListeParagraf"/>
              <w:spacing w:after="0" w:line="240" w:lineRule="auto"/>
              <w:ind w:left="0"/>
              <w:jc w:val="both"/>
              <w:rPr>
                <w:rFonts w:ascii="Times New Roman" w:hAnsi="Times New Roman"/>
                <w:sz w:val="24"/>
                <w:szCs w:val="24"/>
              </w:rPr>
            </w:pPr>
            <w:r w:rsidRPr="000E35B9">
              <w:rPr>
                <w:rFonts w:ascii="Times New Roman" w:hAnsi="Times New Roman"/>
                <w:b/>
                <w:bCs/>
                <w:sz w:val="24"/>
                <w:szCs w:val="24"/>
                <w:lang w:eastAsia="tr-TR"/>
              </w:rPr>
              <w:t>Yatırım Dönemi</w:t>
            </w:r>
          </w:p>
        </w:tc>
        <w:tc>
          <w:tcPr>
            <w:tcW w:w="7972" w:type="dxa"/>
          </w:tcPr>
          <w:p w:rsidR="00EA1CB3" w:rsidRPr="000E35B9" w:rsidRDefault="00EA1CB3" w:rsidP="00EC7CA0">
            <w:pPr>
              <w:pStyle w:val="ListeParagraf"/>
              <w:spacing w:after="0" w:line="240" w:lineRule="auto"/>
              <w:ind w:left="0"/>
              <w:jc w:val="both"/>
              <w:rPr>
                <w:rFonts w:ascii="Times New Roman" w:hAnsi="Times New Roman"/>
                <w:sz w:val="24"/>
                <w:szCs w:val="24"/>
              </w:rPr>
            </w:pPr>
          </w:p>
        </w:tc>
      </w:tr>
      <w:tr w:rsidR="00EA1CB3" w:rsidRPr="000E35B9" w:rsidTr="00EC7CA0">
        <w:trPr>
          <w:trHeight w:val="715"/>
        </w:trPr>
        <w:tc>
          <w:tcPr>
            <w:tcW w:w="2235" w:type="dxa"/>
          </w:tcPr>
          <w:p w:rsidR="00EA1CB3" w:rsidRPr="000E35B9" w:rsidRDefault="00EA1CB3" w:rsidP="00EC7CA0">
            <w:pPr>
              <w:ind w:right="-46"/>
              <w:rPr>
                <w:rFonts w:ascii="Times New Roman" w:hAnsi="Times New Roman"/>
                <w:b/>
                <w:bCs/>
                <w:szCs w:val="24"/>
                <w:lang w:eastAsia="tr-TR"/>
              </w:rPr>
            </w:pPr>
            <w:r w:rsidRPr="000E35B9">
              <w:rPr>
                <w:rFonts w:ascii="Times New Roman" w:hAnsi="Times New Roman"/>
                <w:b/>
                <w:bCs/>
                <w:szCs w:val="24"/>
                <w:lang w:eastAsia="tr-TR"/>
              </w:rPr>
              <w:t>Yatırım Döneminin Son Günü İtibariyle;</w:t>
            </w:r>
          </w:p>
        </w:tc>
        <w:tc>
          <w:tcPr>
            <w:tcW w:w="7972" w:type="dxa"/>
          </w:tcPr>
          <w:p w:rsidR="00EA1CB3" w:rsidRPr="000E35B9" w:rsidRDefault="00EA1CB3" w:rsidP="00EC7CA0">
            <w:pPr>
              <w:pStyle w:val="ListeParagraf"/>
              <w:spacing w:after="0" w:line="240" w:lineRule="auto"/>
              <w:ind w:left="0"/>
              <w:jc w:val="both"/>
              <w:rPr>
                <w:rFonts w:ascii="Times New Roman" w:hAnsi="Times New Roman"/>
                <w:sz w:val="24"/>
                <w:szCs w:val="24"/>
              </w:rPr>
            </w:pPr>
          </w:p>
        </w:tc>
      </w:tr>
      <w:tr w:rsidR="00EA1CB3" w:rsidRPr="000E35B9" w:rsidTr="00EC7CA0">
        <w:trPr>
          <w:trHeight w:val="433"/>
        </w:trPr>
        <w:tc>
          <w:tcPr>
            <w:tcW w:w="2235" w:type="dxa"/>
          </w:tcPr>
          <w:p w:rsidR="00EA1CB3" w:rsidRPr="000E35B9" w:rsidRDefault="00EA1CB3" w:rsidP="00EA1CB3">
            <w:pPr>
              <w:pStyle w:val="ListeParagraf"/>
              <w:numPr>
                <w:ilvl w:val="0"/>
                <w:numId w:val="3"/>
              </w:numPr>
              <w:spacing w:after="0" w:line="240" w:lineRule="auto"/>
              <w:jc w:val="both"/>
              <w:rPr>
                <w:rFonts w:ascii="Times New Roman" w:hAnsi="Times New Roman"/>
                <w:b/>
                <w:bCs/>
                <w:sz w:val="24"/>
                <w:szCs w:val="24"/>
                <w:lang w:eastAsia="tr-TR"/>
              </w:rPr>
            </w:pPr>
            <w:r w:rsidRPr="000E35B9">
              <w:rPr>
                <w:rFonts w:ascii="Times New Roman" w:hAnsi="Times New Roman"/>
                <w:b/>
                <w:bCs/>
                <w:sz w:val="24"/>
                <w:szCs w:val="24"/>
                <w:lang w:eastAsia="tr-TR"/>
              </w:rPr>
              <w:t xml:space="preserve">Pay Sayısı </w:t>
            </w:r>
          </w:p>
        </w:tc>
        <w:tc>
          <w:tcPr>
            <w:tcW w:w="7972" w:type="dxa"/>
            <w:vAlign w:val="bottom"/>
          </w:tcPr>
          <w:p w:rsidR="00EA1CB3" w:rsidRPr="000E35B9" w:rsidRDefault="00EA1CB3" w:rsidP="00EC7CA0">
            <w:pPr>
              <w:pStyle w:val="ListeParagraf"/>
              <w:spacing w:after="0" w:line="240" w:lineRule="auto"/>
              <w:ind w:left="0"/>
              <w:jc w:val="both"/>
              <w:rPr>
                <w:rFonts w:ascii="Times New Roman" w:hAnsi="Times New Roman"/>
                <w:sz w:val="24"/>
                <w:szCs w:val="24"/>
              </w:rPr>
            </w:pPr>
          </w:p>
        </w:tc>
      </w:tr>
      <w:tr w:rsidR="00EA1CB3" w:rsidRPr="000E35B9" w:rsidTr="00EC7CA0">
        <w:trPr>
          <w:trHeight w:val="368"/>
        </w:trPr>
        <w:tc>
          <w:tcPr>
            <w:tcW w:w="2235" w:type="dxa"/>
          </w:tcPr>
          <w:p w:rsidR="00EA1CB3" w:rsidRPr="000E35B9" w:rsidRDefault="00EA1CB3" w:rsidP="00EA1CB3">
            <w:pPr>
              <w:pStyle w:val="ListeParagraf"/>
              <w:numPr>
                <w:ilvl w:val="0"/>
                <w:numId w:val="3"/>
              </w:numPr>
              <w:spacing w:after="0" w:line="240" w:lineRule="auto"/>
              <w:jc w:val="both"/>
              <w:rPr>
                <w:rFonts w:ascii="Times New Roman" w:hAnsi="Times New Roman"/>
                <w:b/>
                <w:bCs/>
                <w:sz w:val="24"/>
                <w:szCs w:val="24"/>
                <w:lang w:eastAsia="tr-TR"/>
              </w:rPr>
            </w:pPr>
            <w:r w:rsidRPr="000E35B9">
              <w:rPr>
                <w:rFonts w:ascii="Times New Roman" w:hAnsi="Times New Roman"/>
                <w:b/>
                <w:bCs/>
                <w:sz w:val="24"/>
                <w:szCs w:val="24"/>
                <w:lang w:eastAsia="tr-TR"/>
              </w:rPr>
              <w:t>Dolaşım Oranı</w:t>
            </w:r>
          </w:p>
        </w:tc>
        <w:tc>
          <w:tcPr>
            <w:tcW w:w="7972" w:type="dxa"/>
            <w:vAlign w:val="bottom"/>
          </w:tcPr>
          <w:p w:rsidR="00EA1CB3" w:rsidRPr="000E35B9" w:rsidRDefault="00EA1CB3" w:rsidP="00EC7CA0">
            <w:pPr>
              <w:pStyle w:val="ListeParagraf"/>
              <w:spacing w:after="0" w:line="240" w:lineRule="auto"/>
              <w:ind w:left="0"/>
              <w:jc w:val="both"/>
              <w:rPr>
                <w:rFonts w:ascii="Times New Roman" w:hAnsi="Times New Roman"/>
                <w:sz w:val="24"/>
                <w:szCs w:val="24"/>
              </w:rPr>
            </w:pPr>
          </w:p>
        </w:tc>
      </w:tr>
      <w:tr w:rsidR="00EA1CB3" w:rsidRPr="000E35B9" w:rsidTr="00EC7CA0">
        <w:trPr>
          <w:trHeight w:val="422"/>
        </w:trPr>
        <w:tc>
          <w:tcPr>
            <w:tcW w:w="2235" w:type="dxa"/>
          </w:tcPr>
          <w:p w:rsidR="00EA1CB3" w:rsidRPr="000E35B9" w:rsidRDefault="00EA1CB3" w:rsidP="00EA1CB3">
            <w:pPr>
              <w:pStyle w:val="ListeParagraf"/>
              <w:numPr>
                <w:ilvl w:val="0"/>
                <w:numId w:val="3"/>
              </w:numPr>
              <w:spacing w:after="0" w:line="240" w:lineRule="auto"/>
              <w:jc w:val="both"/>
              <w:rPr>
                <w:rFonts w:ascii="Times New Roman" w:hAnsi="Times New Roman"/>
                <w:b/>
                <w:bCs/>
                <w:sz w:val="24"/>
                <w:szCs w:val="24"/>
                <w:lang w:eastAsia="tr-TR"/>
              </w:rPr>
            </w:pPr>
            <w:r w:rsidRPr="000E35B9">
              <w:rPr>
                <w:rFonts w:ascii="Times New Roman" w:hAnsi="Times New Roman"/>
                <w:b/>
                <w:bCs/>
                <w:sz w:val="24"/>
                <w:szCs w:val="24"/>
                <w:lang w:eastAsia="tr-TR"/>
              </w:rPr>
              <w:t xml:space="preserve">Fon Toplam Değeri (TL) </w:t>
            </w:r>
          </w:p>
        </w:tc>
        <w:tc>
          <w:tcPr>
            <w:tcW w:w="7972" w:type="dxa"/>
            <w:vAlign w:val="bottom"/>
          </w:tcPr>
          <w:p w:rsidR="00EA1CB3" w:rsidRPr="000E35B9" w:rsidRDefault="00EA1CB3" w:rsidP="00EC7CA0">
            <w:pPr>
              <w:pStyle w:val="ListeParagraf"/>
              <w:spacing w:after="0" w:line="240" w:lineRule="auto"/>
              <w:ind w:left="0"/>
              <w:jc w:val="both"/>
              <w:rPr>
                <w:rFonts w:ascii="Times New Roman" w:hAnsi="Times New Roman"/>
                <w:sz w:val="24"/>
                <w:szCs w:val="24"/>
              </w:rPr>
            </w:pPr>
          </w:p>
        </w:tc>
      </w:tr>
      <w:tr w:rsidR="00EA1CB3" w:rsidRPr="000E35B9" w:rsidTr="00EC7CA0">
        <w:trPr>
          <w:trHeight w:val="469"/>
        </w:trPr>
        <w:tc>
          <w:tcPr>
            <w:tcW w:w="2235" w:type="dxa"/>
          </w:tcPr>
          <w:p w:rsidR="00EA1CB3" w:rsidRPr="000E35B9" w:rsidRDefault="00EA1CB3" w:rsidP="00EA1CB3">
            <w:pPr>
              <w:pStyle w:val="ListeParagraf"/>
              <w:numPr>
                <w:ilvl w:val="0"/>
                <w:numId w:val="3"/>
              </w:numPr>
              <w:spacing w:after="0" w:line="240" w:lineRule="auto"/>
              <w:jc w:val="both"/>
              <w:rPr>
                <w:rFonts w:ascii="Times New Roman" w:hAnsi="Times New Roman"/>
                <w:b/>
                <w:bCs/>
                <w:sz w:val="24"/>
                <w:szCs w:val="24"/>
                <w:lang w:eastAsia="tr-TR"/>
              </w:rPr>
            </w:pPr>
            <w:r w:rsidRPr="000E35B9">
              <w:rPr>
                <w:rFonts w:ascii="Times New Roman" w:hAnsi="Times New Roman"/>
                <w:b/>
                <w:bCs/>
                <w:sz w:val="24"/>
                <w:szCs w:val="24"/>
                <w:lang w:eastAsia="tr-TR"/>
              </w:rPr>
              <w:t>Birim Pay Değeri (TL)</w:t>
            </w:r>
          </w:p>
        </w:tc>
        <w:tc>
          <w:tcPr>
            <w:tcW w:w="7972" w:type="dxa"/>
            <w:vAlign w:val="bottom"/>
          </w:tcPr>
          <w:p w:rsidR="00EA1CB3" w:rsidRPr="000E35B9" w:rsidRDefault="00EA1CB3" w:rsidP="00EC7CA0">
            <w:pPr>
              <w:pStyle w:val="ListeParagraf"/>
              <w:spacing w:after="0" w:line="240" w:lineRule="auto"/>
              <w:ind w:left="0"/>
              <w:jc w:val="both"/>
              <w:rPr>
                <w:rFonts w:ascii="Times New Roman" w:hAnsi="Times New Roman"/>
                <w:sz w:val="24"/>
                <w:szCs w:val="24"/>
              </w:rPr>
            </w:pPr>
          </w:p>
        </w:tc>
      </w:tr>
      <w:tr w:rsidR="00EA1CB3" w:rsidRPr="000E35B9" w:rsidTr="00EC7CA0">
        <w:trPr>
          <w:trHeight w:val="693"/>
        </w:trPr>
        <w:tc>
          <w:tcPr>
            <w:tcW w:w="2235" w:type="dxa"/>
          </w:tcPr>
          <w:p w:rsidR="00EA1CB3" w:rsidRPr="00D829D0" w:rsidRDefault="00EA1CB3" w:rsidP="00EA1CB3">
            <w:pPr>
              <w:pStyle w:val="ListeParagraf"/>
              <w:numPr>
                <w:ilvl w:val="0"/>
                <w:numId w:val="3"/>
              </w:numPr>
              <w:spacing w:after="0" w:line="240" w:lineRule="auto"/>
              <w:jc w:val="both"/>
              <w:rPr>
                <w:rFonts w:ascii="Times New Roman" w:hAnsi="Times New Roman"/>
                <w:b/>
                <w:bCs/>
                <w:sz w:val="24"/>
                <w:szCs w:val="24"/>
                <w:lang w:eastAsia="tr-TR"/>
              </w:rPr>
            </w:pPr>
            <w:r w:rsidRPr="00D829D0">
              <w:rPr>
                <w:rFonts w:ascii="Times New Roman" w:hAnsi="Times New Roman"/>
                <w:b/>
                <w:bCs/>
                <w:sz w:val="24"/>
                <w:szCs w:val="24"/>
                <w:lang w:eastAsia="tr-TR"/>
              </w:rPr>
              <w:t xml:space="preserve">HB/DT/ÖST/Ters Repo Getirisi (%) </w:t>
            </w:r>
          </w:p>
        </w:tc>
        <w:tc>
          <w:tcPr>
            <w:tcW w:w="7972" w:type="dxa"/>
            <w:vAlign w:val="bottom"/>
          </w:tcPr>
          <w:p w:rsidR="00EA1CB3" w:rsidRDefault="00EA1CB3" w:rsidP="00EC7CA0">
            <w:pPr>
              <w:rPr>
                <w:rFonts w:ascii="Times New Roman" w:hAnsi="Times New Roman"/>
                <w:szCs w:val="24"/>
              </w:rPr>
            </w:pPr>
          </w:p>
          <w:p w:rsidR="00EA1CB3" w:rsidRPr="00D829D0" w:rsidRDefault="00EA1CB3" w:rsidP="00EC7CA0">
            <w:pPr>
              <w:rPr>
                <w:rFonts w:ascii="Times New Roman" w:hAnsi="Times New Roman"/>
                <w:szCs w:val="24"/>
              </w:rPr>
            </w:pPr>
          </w:p>
          <w:p w:rsidR="00EA1CB3" w:rsidRPr="00D829D0" w:rsidRDefault="00EA1CB3" w:rsidP="00EC7CA0">
            <w:pPr>
              <w:rPr>
                <w:rFonts w:ascii="Times New Roman" w:hAnsi="Times New Roman"/>
                <w:szCs w:val="24"/>
              </w:rPr>
            </w:pPr>
          </w:p>
        </w:tc>
      </w:tr>
      <w:tr w:rsidR="00EA1CB3" w:rsidRPr="000E35B9" w:rsidTr="00EC7CA0">
        <w:trPr>
          <w:trHeight w:val="9485"/>
        </w:trPr>
        <w:tc>
          <w:tcPr>
            <w:tcW w:w="2235" w:type="dxa"/>
          </w:tcPr>
          <w:p w:rsidR="00EA1CB3" w:rsidRDefault="00EA1CB3" w:rsidP="00EC7CA0">
            <w:pPr>
              <w:pStyle w:val="ListeParagraf"/>
              <w:spacing w:after="0" w:line="240" w:lineRule="auto"/>
              <w:ind w:left="540"/>
              <w:jc w:val="both"/>
              <w:rPr>
                <w:rFonts w:ascii="Times New Roman" w:hAnsi="Times New Roman"/>
                <w:b/>
                <w:bCs/>
                <w:sz w:val="24"/>
                <w:szCs w:val="24"/>
                <w:lang w:eastAsia="tr-TR"/>
              </w:rPr>
            </w:pPr>
          </w:p>
          <w:p w:rsidR="00EA1CB3" w:rsidRPr="000E35B9" w:rsidRDefault="00EA1CB3" w:rsidP="00EA1CB3">
            <w:pPr>
              <w:pStyle w:val="ListeParagraf"/>
              <w:numPr>
                <w:ilvl w:val="0"/>
                <w:numId w:val="3"/>
              </w:numPr>
              <w:spacing w:after="0" w:line="240" w:lineRule="auto"/>
              <w:jc w:val="both"/>
              <w:rPr>
                <w:rFonts w:ascii="Times New Roman" w:hAnsi="Times New Roman"/>
                <w:b/>
                <w:bCs/>
                <w:sz w:val="24"/>
                <w:szCs w:val="24"/>
                <w:lang w:eastAsia="tr-TR"/>
              </w:rPr>
            </w:pPr>
            <w:r w:rsidRPr="000E35B9">
              <w:rPr>
                <w:rFonts w:ascii="Times New Roman" w:hAnsi="Times New Roman"/>
                <w:b/>
                <w:bCs/>
                <w:sz w:val="24"/>
                <w:szCs w:val="24"/>
                <w:lang w:eastAsia="tr-TR"/>
              </w:rPr>
              <w:t>Opsiyon Getirisi (%)</w:t>
            </w:r>
          </w:p>
        </w:tc>
        <w:tc>
          <w:tcPr>
            <w:tcW w:w="7972" w:type="dxa"/>
            <w:vAlign w:val="bottom"/>
          </w:tcPr>
          <w:p w:rsidR="00EA1CB3" w:rsidRPr="000E35B9" w:rsidRDefault="00EA1CB3" w:rsidP="00EC7CA0">
            <w:pPr>
              <w:jc w:val="both"/>
              <w:rPr>
                <w:rFonts w:ascii="Times New Roman" w:hAnsi="Times New Roman"/>
                <w:szCs w:val="24"/>
              </w:rPr>
            </w:pPr>
          </w:p>
        </w:tc>
      </w:tr>
      <w:tr w:rsidR="00EA1CB3" w:rsidRPr="000E35B9" w:rsidTr="00EC7CA0">
        <w:trPr>
          <w:trHeight w:val="982"/>
        </w:trPr>
        <w:tc>
          <w:tcPr>
            <w:tcW w:w="2235" w:type="dxa"/>
          </w:tcPr>
          <w:p w:rsidR="00EA1CB3" w:rsidRDefault="00EA1CB3" w:rsidP="00EC7CA0">
            <w:pPr>
              <w:pStyle w:val="ListeParagraf"/>
              <w:spacing w:after="0" w:line="240" w:lineRule="auto"/>
              <w:ind w:left="540"/>
              <w:jc w:val="both"/>
              <w:rPr>
                <w:rFonts w:ascii="Times New Roman" w:hAnsi="Times New Roman"/>
                <w:b/>
                <w:bCs/>
                <w:sz w:val="24"/>
                <w:szCs w:val="24"/>
                <w:lang w:eastAsia="tr-TR"/>
              </w:rPr>
            </w:pPr>
          </w:p>
          <w:p w:rsidR="00EA1CB3" w:rsidRPr="000E35B9" w:rsidRDefault="00EA1CB3" w:rsidP="00EA1CB3">
            <w:pPr>
              <w:pStyle w:val="ListeParagraf"/>
              <w:numPr>
                <w:ilvl w:val="0"/>
                <w:numId w:val="3"/>
              </w:numPr>
              <w:spacing w:after="0" w:line="240" w:lineRule="auto"/>
              <w:jc w:val="both"/>
              <w:rPr>
                <w:rFonts w:ascii="Times New Roman" w:hAnsi="Times New Roman"/>
                <w:b/>
                <w:bCs/>
                <w:sz w:val="24"/>
                <w:szCs w:val="24"/>
                <w:lang w:eastAsia="tr-TR"/>
              </w:rPr>
            </w:pPr>
            <w:r w:rsidRPr="000E35B9">
              <w:rPr>
                <w:rFonts w:ascii="Times New Roman" w:hAnsi="Times New Roman"/>
                <w:b/>
                <w:bCs/>
                <w:sz w:val="24"/>
                <w:szCs w:val="24"/>
                <w:lang w:eastAsia="tr-TR"/>
              </w:rPr>
              <w:t>Fon</w:t>
            </w:r>
            <w:r>
              <w:rPr>
                <w:rFonts w:ascii="Times New Roman" w:hAnsi="Times New Roman"/>
                <w:b/>
                <w:bCs/>
                <w:sz w:val="24"/>
                <w:szCs w:val="24"/>
                <w:lang w:eastAsia="tr-TR"/>
              </w:rPr>
              <w:t>’</w:t>
            </w:r>
            <w:r w:rsidRPr="000E35B9">
              <w:rPr>
                <w:rFonts w:ascii="Times New Roman" w:hAnsi="Times New Roman"/>
                <w:b/>
                <w:bCs/>
                <w:sz w:val="24"/>
                <w:szCs w:val="24"/>
                <w:lang w:eastAsia="tr-TR"/>
              </w:rPr>
              <w:t>un Getirisi (%)</w:t>
            </w:r>
          </w:p>
        </w:tc>
        <w:tc>
          <w:tcPr>
            <w:tcW w:w="7972" w:type="dxa"/>
            <w:vAlign w:val="bottom"/>
          </w:tcPr>
          <w:p w:rsidR="00EA1CB3" w:rsidRPr="000E35B9" w:rsidRDefault="00EA1CB3" w:rsidP="00EC7CA0">
            <w:pPr>
              <w:rPr>
                <w:rFonts w:ascii="Times New Roman" w:hAnsi="Times New Roman"/>
                <w:szCs w:val="24"/>
              </w:rPr>
            </w:pPr>
          </w:p>
        </w:tc>
      </w:tr>
      <w:tr w:rsidR="00EA1CB3" w:rsidRPr="000E35B9" w:rsidTr="00EC7CA0">
        <w:trPr>
          <w:trHeight w:val="1560"/>
        </w:trPr>
        <w:tc>
          <w:tcPr>
            <w:tcW w:w="2235" w:type="dxa"/>
          </w:tcPr>
          <w:p w:rsidR="00EA1CB3" w:rsidRDefault="00EA1CB3" w:rsidP="00EC7CA0">
            <w:pPr>
              <w:pStyle w:val="ListeParagraf"/>
              <w:spacing w:after="0" w:line="240" w:lineRule="auto"/>
              <w:ind w:left="540"/>
              <w:jc w:val="both"/>
              <w:rPr>
                <w:rFonts w:ascii="Times New Roman" w:hAnsi="Times New Roman"/>
                <w:b/>
                <w:bCs/>
                <w:sz w:val="24"/>
                <w:szCs w:val="24"/>
                <w:lang w:eastAsia="tr-TR"/>
              </w:rPr>
            </w:pPr>
          </w:p>
          <w:p w:rsidR="00EA1CB3" w:rsidRPr="00F453C4" w:rsidRDefault="00EA1CB3" w:rsidP="00EA1CB3">
            <w:pPr>
              <w:pStyle w:val="ListeParagraf"/>
              <w:numPr>
                <w:ilvl w:val="0"/>
                <w:numId w:val="3"/>
              </w:numPr>
              <w:spacing w:after="0" w:line="240" w:lineRule="auto"/>
              <w:jc w:val="both"/>
              <w:rPr>
                <w:rFonts w:ascii="Times New Roman" w:hAnsi="Times New Roman"/>
                <w:b/>
                <w:bCs/>
                <w:sz w:val="24"/>
                <w:szCs w:val="24"/>
                <w:lang w:eastAsia="tr-TR"/>
              </w:rPr>
            </w:pPr>
            <w:r w:rsidRPr="00F453C4">
              <w:rPr>
                <w:rFonts w:ascii="Times New Roman" w:hAnsi="Times New Roman"/>
                <w:b/>
                <w:bCs/>
                <w:sz w:val="24"/>
                <w:szCs w:val="24"/>
                <w:lang w:eastAsia="tr-TR"/>
              </w:rPr>
              <w:t>Yatırımcılara Ödenen Toplam Tutar (TL)</w:t>
            </w:r>
          </w:p>
        </w:tc>
        <w:tc>
          <w:tcPr>
            <w:tcW w:w="7972" w:type="dxa"/>
            <w:vAlign w:val="center"/>
          </w:tcPr>
          <w:p w:rsidR="00EA1CB3" w:rsidRPr="00F453C4" w:rsidRDefault="00EA1CB3" w:rsidP="00EC7CA0">
            <w:pPr>
              <w:rPr>
                <w:rFonts w:ascii="Times New Roman" w:hAnsi="Times New Roman"/>
                <w:szCs w:val="24"/>
              </w:rPr>
            </w:pPr>
          </w:p>
        </w:tc>
      </w:tr>
    </w:tbl>
    <w:p w:rsidR="00EA1CB3" w:rsidRPr="000E35B9" w:rsidRDefault="00EA1CB3" w:rsidP="00EA1CB3">
      <w:pPr>
        <w:pStyle w:val="ListeParagraf"/>
        <w:spacing w:line="340" w:lineRule="atLeast"/>
        <w:ind w:left="0"/>
        <w:jc w:val="both"/>
        <w:rPr>
          <w:rFonts w:ascii="Times New Roman" w:hAnsi="Times New Roman"/>
          <w:sz w:val="24"/>
          <w:szCs w:val="24"/>
        </w:rPr>
      </w:pPr>
    </w:p>
    <w:p w:rsidR="00EA1CB3" w:rsidRDefault="00EA1CB3" w:rsidP="00EA1CB3">
      <w:pPr>
        <w:pStyle w:val="ListeParagraf"/>
        <w:numPr>
          <w:ilvl w:val="0"/>
          <w:numId w:val="1"/>
        </w:numPr>
        <w:ind w:left="567" w:hanging="207"/>
        <w:jc w:val="both"/>
        <w:rPr>
          <w:rFonts w:ascii="Times New Roman" w:hAnsi="Times New Roman"/>
          <w:sz w:val="24"/>
          <w:szCs w:val="24"/>
        </w:rPr>
      </w:pPr>
      <w:r w:rsidRPr="000E35B9">
        <w:rPr>
          <w:rFonts w:ascii="Times New Roman" w:hAnsi="Times New Roman"/>
          <w:sz w:val="24"/>
          <w:szCs w:val="24"/>
        </w:rPr>
        <w:t>Yatırım döneminin son günündeki fon toplam değeri ile yatırımcılara ödenen toplam tutar arasında bir fark varsa, bunu nedeni ve bu tutarların ne şekilde değerlendirildiğine ilişkin açıklama: Fon toplam değeri ile yatırımcılara ödenen toplam tutar arasında</w:t>
      </w:r>
      <w:r>
        <w:rPr>
          <w:rFonts w:ascii="Times New Roman" w:hAnsi="Times New Roman"/>
          <w:sz w:val="24"/>
          <w:szCs w:val="24"/>
        </w:rPr>
        <w:t xml:space="preserve"> </w:t>
      </w:r>
      <w:proofErr w:type="gramStart"/>
      <w:r>
        <w:rPr>
          <w:rFonts w:ascii="Times New Roman" w:hAnsi="Times New Roman"/>
          <w:sz w:val="24"/>
          <w:szCs w:val="24"/>
        </w:rPr>
        <w:t>….</w:t>
      </w:r>
      <w:proofErr w:type="gramEnd"/>
      <w:r w:rsidRPr="000E35B9">
        <w:rPr>
          <w:rFonts w:ascii="Times New Roman" w:hAnsi="Times New Roman"/>
          <w:sz w:val="24"/>
          <w:szCs w:val="24"/>
        </w:rPr>
        <w:t xml:space="preserve">TL’lik fark bulunmaktadır. Yatırımcılara ödenen tutara etki eden fonun fiyatı altı </w:t>
      </w:r>
      <w:proofErr w:type="spellStart"/>
      <w:r w:rsidRPr="000E35B9">
        <w:rPr>
          <w:rFonts w:ascii="Times New Roman" w:hAnsi="Times New Roman"/>
          <w:sz w:val="24"/>
          <w:szCs w:val="24"/>
        </w:rPr>
        <w:t>digit</w:t>
      </w:r>
      <w:proofErr w:type="spellEnd"/>
      <w:r w:rsidRPr="000E35B9">
        <w:rPr>
          <w:rFonts w:ascii="Times New Roman" w:hAnsi="Times New Roman"/>
          <w:sz w:val="24"/>
          <w:szCs w:val="24"/>
        </w:rPr>
        <w:t xml:space="preserve"> olarak </w:t>
      </w:r>
      <w:r w:rsidRPr="000E35B9">
        <w:rPr>
          <w:rFonts w:ascii="Times New Roman" w:hAnsi="Times New Roman"/>
          <w:sz w:val="24"/>
          <w:szCs w:val="24"/>
        </w:rPr>
        <w:lastRenderedPageBreak/>
        <w:t xml:space="preserve">alınmaktadır. Ancak, fon toplam değeri rakamı toplam pay sayısına bölündüğünde, fonun fiyatı altı </w:t>
      </w:r>
      <w:proofErr w:type="spellStart"/>
      <w:r w:rsidRPr="000E35B9">
        <w:rPr>
          <w:rFonts w:ascii="Times New Roman" w:hAnsi="Times New Roman"/>
          <w:sz w:val="24"/>
          <w:szCs w:val="24"/>
        </w:rPr>
        <w:t>digit</w:t>
      </w:r>
      <w:proofErr w:type="spellEnd"/>
      <w:r w:rsidRPr="000E35B9">
        <w:rPr>
          <w:rFonts w:ascii="Times New Roman" w:hAnsi="Times New Roman"/>
          <w:sz w:val="24"/>
          <w:szCs w:val="24"/>
        </w:rPr>
        <w:t xml:space="preserve"> üzerinde</w:t>
      </w:r>
      <w:r>
        <w:rPr>
          <w:rFonts w:ascii="Times New Roman" w:hAnsi="Times New Roman"/>
          <w:sz w:val="24"/>
          <w:szCs w:val="24"/>
        </w:rPr>
        <w:t xml:space="preserve"> </w:t>
      </w:r>
      <w:r w:rsidRPr="000E35B9">
        <w:rPr>
          <w:rFonts w:ascii="Times New Roman" w:hAnsi="Times New Roman"/>
          <w:sz w:val="24"/>
          <w:szCs w:val="24"/>
        </w:rPr>
        <w:t>gerçekleşebilmektedir. Bu nedenle, fark oluşmaktadır.</w:t>
      </w:r>
    </w:p>
    <w:p w:rsidR="00EA1CB3" w:rsidRPr="00DA666A" w:rsidRDefault="00EA1CB3" w:rsidP="00EA1CB3">
      <w:pPr>
        <w:pStyle w:val="ListeParagraf"/>
        <w:ind w:left="0"/>
        <w:jc w:val="both"/>
        <w:rPr>
          <w:rFonts w:ascii="Times New Roman" w:hAnsi="Times New Roman"/>
          <w:sz w:val="24"/>
          <w:szCs w:val="24"/>
        </w:rPr>
      </w:pPr>
    </w:p>
    <w:p w:rsidR="00EA1CB3" w:rsidRPr="000E35B9" w:rsidRDefault="00EA1CB3" w:rsidP="00EA1CB3">
      <w:pPr>
        <w:pStyle w:val="ListeParagraf"/>
        <w:numPr>
          <w:ilvl w:val="0"/>
          <w:numId w:val="1"/>
        </w:numPr>
        <w:ind w:left="567" w:hanging="207"/>
        <w:jc w:val="both"/>
        <w:rPr>
          <w:rFonts w:ascii="Times New Roman" w:hAnsi="Times New Roman"/>
          <w:sz w:val="24"/>
          <w:szCs w:val="24"/>
        </w:rPr>
      </w:pPr>
      <w:r w:rsidRPr="000E35B9">
        <w:rPr>
          <w:rFonts w:ascii="Times New Roman" w:hAnsi="Times New Roman"/>
          <w:sz w:val="24"/>
          <w:szCs w:val="24"/>
        </w:rPr>
        <w:t xml:space="preserve">Opsiyon sözleşmesi çerçevesinde nakdi uzlaşma tutarı aşağıdaki şekilde hesaplanmıştır: </w:t>
      </w:r>
    </w:p>
    <w:p w:rsidR="00EA1CB3" w:rsidRDefault="00EA1CB3" w:rsidP="00EA1CB3">
      <w:pPr>
        <w:pStyle w:val="ListeParagraf"/>
        <w:ind w:left="0"/>
        <w:rPr>
          <w:rFonts w:ascii="Times New Roman" w:hAnsi="Times New Roman"/>
          <w:sz w:val="24"/>
          <w:szCs w:val="24"/>
        </w:rPr>
      </w:pPr>
    </w:p>
    <w:p w:rsidR="00EA1CB3" w:rsidRDefault="00EA1CB3" w:rsidP="00EA1CB3">
      <w:pPr>
        <w:pStyle w:val="ListeParagraf"/>
        <w:ind w:left="567"/>
        <w:rPr>
          <w:rFonts w:ascii="Times New Roman" w:hAnsi="Times New Roman"/>
          <w:sz w:val="24"/>
          <w:szCs w:val="24"/>
        </w:rPr>
      </w:pPr>
      <w:r w:rsidRPr="000E35B9">
        <w:rPr>
          <w:rFonts w:ascii="Times New Roman" w:hAnsi="Times New Roman"/>
          <w:sz w:val="24"/>
          <w:szCs w:val="24"/>
        </w:rPr>
        <w:t xml:space="preserve">Opsiyonun itfa tarihindeki </w:t>
      </w:r>
      <w:proofErr w:type="gramStart"/>
      <w:r w:rsidRPr="000E35B9">
        <w:rPr>
          <w:rFonts w:ascii="Times New Roman" w:hAnsi="Times New Roman"/>
          <w:sz w:val="24"/>
          <w:szCs w:val="24"/>
        </w:rPr>
        <w:t>nominal</w:t>
      </w:r>
      <w:proofErr w:type="gramEnd"/>
      <w:r w:rsidRPr="000E35B9">
        <w:rPr>
          <w:rFonts w:ascii="Times New Roman" w:hAnsi="Times New Roman"/>
          <w:sz w:val="24"/>
          <w:szCs w:val="24"/>
        </w:rPr>
        <w:t xml:space="preserve"> (</w:t>
      </w:r>
      <w:proofErr w:type="spellStart"/>
      <w:r w:rsidRPr="000E35B9">
        <w:rPr>
          <w:rFonts w:ascii="Times New Roman" w:hAnsi="Times New Roman"/>
          <w:sz w:val="24"/>
          <w:szCs w:val="24"/>
        </w:rPr>
        <w:t>Notional</w:t>
      </w:r>
      <w:proofErr w:type="spellEnd"/>
      <w:r w:rsidRPr="000E35B9">
        <w:rPr>
          <w:rFonts w:ascii="Times New Roman" w:hAnsi="Times New Roman"/>
          <w:sz w:val="24"/>
          <w:szCs w:val="24"/>
        </w:rPr>
        <w:t xml:space="preserve">) değeri * Opsiyonun Vade Sonundaki Getiri Oranı </w:t>
      </w:r>
      <w:r w:rsidRPr="009E4B72">
        <w:rPr>
          <w:rFonts w:ascii="Times New Roman" w:hAnsi="Times New Roman"/>
          <w:sz w:val="24"/>
          <w:szCs w:val="24"/>
        </w:rPr>
        <w:sym w:font="Wingdings" w:char="F0E8"/>
      </w:r>
      <w:r>
        <w:rPr>
          <w:rFonts w:ascii="Times New Roman" w:hAnsi="Times New Roman"/>
          <w:sz w:val="24"/>
          <w:szCs w:val="24"/>
        </w:rPr>
        <w:t xml:space="preserve">  </w:t>
      </w:r>
    </w:p>
    <w:p w:rsidR="00EA1CB3" w:rsidRPr="000E35B9" w:rsidRDefault="00EA1CB3" w:rsidP="00EA1CB3">
      <w:pPr>
        <w:pStyle w:val="ListeParagraf"/>
        <w:ind w:left="0"/>
        <w:rPr>
          <w:rFonts w:ascii="Times New Roman" w:hAnsi="Times New Roman"/>
          <w:sz w:val="24"/>
          <w:szCs w:val="24"/>
        </w:rPr>
      </w:pPr>
    </w:p>
    <w:p w:rsidR="00EA1CB3" w:rsidRDefault="00EA1CB3" w:rsidP="00EA1CB3">
      <w:pPr>
        <w:pStyle w:val="ListeParagraf"/>
        <w:numPr>
          <w:ilvl w:val="0"/>
          <w:numId w:val="1"/>
        </w:numPr>
        <w:ind w:left="567" w:hanging="207"/>
        <w:jc w:val="both"/>
        <w:rPr>
          <w:rFonts w:ascii="Times New Roman" w:hAnsi="Times New Roman"/>
          <w:sz w:val="24"/>
          <w:szCs w:val="24"/>
        </w:rPr>
      </w:pPr>
      <w:r w:rsidRPr="000E35B9">
        <w:rPr>
          <w:rFonts w:ascii="Times New Roman" w:hAnsi="Times New Roman"/>
          <w:sz w:val="24"/>
          <w:szCs w:val="24"/>
        </w:rPr>
        <w:t>Fon</w:t>
      </w:r>
      <w:r>
        <w:rPr>
          <w:rFonts w:ascii="Times New Roman" w:hAnsi="Times New Roman"/>
          <w:sz w:val="24"/>
          <w:szCs w:val="24"/>
        </w:rPr>
        <w:t>’</w:t>
      </w:r>
      <w:r w:rsidRPr="000E35B9">
        <w:rPr>
          <w:rFonts w:ascii="Times New Roman" w:hAnsi="Times New Roman"/>
          <w:sz w:val="24"/>
          <w:szCs w:val="24"/>
        </w:rPr>
        <w:t xml:space="preserve">un “yönetim, kayda alma ücreti ve denetim” giderleri için günlük olarak karşılık ayrılmaktadır. Söz konusu karşılık ve giderlere ilişkin detaylara (tevsik edici belgeler, hangi dönemde ne kadar karşılık ayrıldığına ilişkin Excel dökümü formatında) </w:t>
      </w:r>
      <w:r w:rsidRPr="000E35B9">
        <w:rPr>
          <w:rFonts w:ascii="Times New Roman" w:hAnsi="Times New Roman"/>
          <w:b/>
          <w:sz w:val="24"/>
          <w:szCs w:val="24"/>
        </w:rPr>
        <w:t>Ek/3</w:t>
      </w:r>
      <w:r>
        <w:rPr>
          <w:rFonts w:ascii="Times New Roman" w:hAnsi="Times New Roman"/>
          <w:sz w:val="24"/>
          <w:szCs w:val="24"/>
        </w:rPr>
        <w:t>’de yer almaktadır.</w:t>
      </w:r>
    </w:p>
    <w:p w:rsidR="00EA1CB3" w:rsidRPr="00DA666A" w:rsidRDefault="00EA1CB3" w:rsidP="00EA1CB3">
      <w:pPr>
        <w:pStyle w:val="ListeParagraf"/>
        <w:ind w:left="0"/>
        <w:jc w:val="both"/>
        <w:rPr>
          <w:rFonts w:ascii="Times New Roman" w:hAnsi="Times New Roman"/>
          <w:sz w:val="24"/>
          <w:szCs w:val="24"/>
        </w:rPr>
      </w:pPr>
    </w:p>
    <w:p w:rsidR="00EA1CB3" w:rsidRDefault="00EA1CB3" w:rsidP="00EA1CB3">
      <w:pPr>
        <w:pStyle w:val="ListeParagraf"/>
        <w:numPr>
          <w:ilvl w:val="0"/>
          <w:numId w:val="1"/>
        </w:numPr>
        <w:ind w:left="567" w:hanging="210"/>
        <w:jc w:val="both"/>
        <w:rPr>
          <w:rFonts w:ascii="Times New Roman" w:hAnsi="Times New Roman"/>
          <w:sz w:val="24"/>
          <w:szCs w:val="24"/>
        </w:rPr>
      </w:pPr>
      <w:r w:rsidRPr="000E35B9">
        <w:rPr>
          <w:rFonts w:ascii="Times New Roman" w:hAnsi="Times New Roman"/>
          <w:sz w:val="24"/>
          <w:szCs w:val="24"/>
        </w:rPr>
        <w:t xml:space="preserve"> Opsiyon ve varsa, borsa dışı ters repo için, fiyat açıklama dönemlerinde karşı taraftan alınan fiyata, bu fiyatın doğrulanması amacıyla Kurucu/Yönetici tarafından hesaplanan fiyata, iki fiyat arasındaki oransal farka ve farkın kabul edilebilir seviye olan %20’nin üzerinde olduğu durumlarda alınan önlemlere ilişkin bilgilere aşağıdaki tabloda yer verilmektedir. Karşı taraftan alınan fiyatları, yapılan hesaplamaları ve alınan tedbirleri tevsik edici yazışmalar, belgeler vb. </w:t>
      </w:r>
      <w:r w:rsidRPr="000E35B9">
        <w:rPr>
          <w:rFonts w:ascii="Times New Roman" w:hAnsi="Times New Roman"/>
          <w:b/>
          <w:sz w:val="24"/>
          <w:szCs w:val="24"/>
        </w:rPr>
        <w:t>Ek/4</w:t>
      </w:r>
      <w:r w:rsidRPr="000E35B9">
        <w:rPr>
          <w:rFonts w:ascii="Times New Roman" w:hAnsi="Times New Roman"/>
          <w:sz w:val="24"/>
          <w:szCs w:val="24"/>
        </w:rPr>
        <w:t>’te yer almaktadır.</w:t>
      </w:r>
    </w:p>
    <w:p w:rsidR="00EA1CB3" w:rsidRPr="00452BBB" w:rsidRDefault="00EA1CB3" w:rsidP="00EA1CB3">
      <w:pPr>
        <w:pStyle w:val="ListeParagraf"/>
        <w:ind w:left="0"/>
        <w:jc w:val="both"/>
        <w:rPr>
          <w:rFonts w:ascii="Times New Roman" w:hAnsi="Times New Roman"/>
          <w:sz w:val="24"/>
          <w:szCs w:val="24"/>
        </w:rPr>
      </w:pPr>
    </w:p>
    <w:p w:rsidR="00EA1CB3" w:rsidRDefault="00EA1CB3" w:rsidP="00EA1CB3">
      <w:pPr>
        <w:pStyle w:val="ListeParagraf"/>
        <w:numPr>
          <w:ilvl w:val="0"/>
          <w:numId w:val="1"/>
        </w:numPr>
        <w:spacing w:line="340" w:lineRule="atLeast"/>
        <w:ind w:left="567" w:hanging="210"/>
        <w:jc w:val="both"/>
        <w:rPr>
          <w:rFonts w:ascii="Times New Roman" w:hAnsi="Times New Roman"/>
          <w:sz w:val="24"/>
          <w:szCs w:val="24"/>
        </w:rPr>
      </w:pPr>
      <w:r w:rsidRPr="000E35B9">
        <w:rPr>
          <w:rFonts w:ascii="Times New Roman" w:hAnsi="Times New Roman"/>
          <w:sz w:val="24"/>
          <w:szCs w:val="24"/>
        </w:rPr>
        <w:t>Fon</w:t>
      </w:r>
      <w:r>
        <w:rPr>
          <w:rFonts w:ascii="Times New Roman" w:hAnsi="Times New Roman"/>
          <w:sz w:val="24"/>
          <w:szCs w:val="24"/>
        </w:rPr>
        <w:t>’</w:t>
      </w:r>
      <w:r w:rsidRPr="000E35B9">
        <w:rPr>
          <w:rFonts w:ascii="Times New Roman" w:hAnsi="Times New Roman"/>
          <w:sz w:val="24"/>
          <w:szCs w:val="24"/>
        </w:rPr>
        <w:t xml:space="preserve">dan çıkış olduğu zamanlarda </w:t>
      </w:r>
      <w:proofErr w:type="gramStart"/>
      <w:r w:rsidRPr="000E35B9">
        <w:rPr>
          <w:rFonts w:ascii="Times New Roman" w:hAnsi="Times New Roman"/>
          <w:sz w:val="24"/>
          <w:szCs w:val="24"/>
        </w:rPr>
        <w:t>opsiyondan</w:t>
      </w:r>
      <w:proofErr w:type="gramEnd"/>
      <w:r w:rsidRPr="000E35B9">
        <w:rPr>
          <w:rFonts w:ascii="Times New Roman" w:hAnsi="Times New Roman"/>
          <w:sz w:val="24"/>
          <w:szCs w:val="24"/>
        </w:rPr>
        <w:t>/borsa dışı ters repodan bozulan tutarlar fon portföyüne şu şekilde yansıtılmıştır:</w:t>
      </w:r>
    </w:p>
    <w:p w:rsidR="00EA1CB3" w:rsidRPr="002F2680" w:rsidRDefault="00EA1CB3" w:rsidP="00EA1CB3">
      <w:pPr>
        <w:pStyle w:val="ListeParagraf"/>
        <w:spacing w:line="340" w:lineRule="atLeast"/>
        <w:ind w:left="567"/>
        <w:jc w:val="both"/>
        <w:rPr>
          <w:rFonts w:ascii="Times New Roman" w:hAnsi="Times New Roman"/>
          <w:sz w:val="24"/>
          <w:szCs w:val="24"/>
        </w:rPr>
      </w:pPr>
    </w:p>
    <w:tbl>
      <w:tblPr>
        <w:tblW w:w="9096" w:type="dxa"/>
        <w:tblInd w:w="93" w:type="dxa"/>
        <w:tblLook w:val="04A0" w:firstRow="1" w:lastRow="0" w:firstColumn="1" w:lastColumn="0" w:noHBand="0" w:noVBand="1"/>
      </w:tblPr>
      <w:tblGrid>
        <w:gridCol w:w="9096"/>
      </w:tblGrid>
      <w:tr w:rsidR="00EA1CB3" w:rsidRPr="00B46CE6" w:rsidTr="00EC7CA0">
        <w:trPr>
          <w:trHeight w:val="630"/>
        </w:trPr>
        <w:tc>
          <w:tcPr>
            <w:tcW w:w="909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A1CB3" w:rsidRDefault="00EA1CB3" w:rsidP="00EC7CA0">
            <w:pPr>
              <w:jc w:val="center"/>
              <w:rPr>
                <w:rFonts w:cs="Arial"/>
                <w:b/>
                <w:bCs/>
                <w:sz w:val="20"/>
                <w:lang w:val="en-US"/>
              </w:rPr>
            </w:pPr>
          </w:p>
          <w:p w:rsidR="00EA1CB3" w:rsidRDefault="00EA1CB3" w:rsidP="00EC7CA0">
            <w:pPr>
              <w:jc w:val="center"/>
              <w:rPr>
                <w:rFonts w:cs="Arial"/>
                <w:b/>
                <w:bCs/>
                <w:sz w:val="20"/>
                <w:lang w:val="en-US"/>
              </w:rPr>
            </w:pPr>
          </w:p>
          <w:p w:rsidR="00EA1CB3" w:rsidRDefault="00EA1CB3" w:rsidP="00EC7CA0">
            <w:pPr>
              <w:jc w:val="center"/>
              <w:rPr>
                <w:rFonts w:cs="Arial"/>
                <w:b/>
                <w:bCs/>
                <w:sz w:val="20"/>
                <w:lang w:val="en-US"/>
              </w:rPr>
            </w:pPr>
            <w:r>
              <w:rPr>
                <w:rFonts w:cs="Arial"/>
                <w:b/>
                <w:bCs/>
                <w:sz w:val="20"/>
                <w:lang w:val="en-US"/>
              </w:rPr>
              <w:t xml:space="preserve">… </w:t>
            </w:r>
            <w:r w:rsidRPr="00B46CE6">
              <w:rPr>
                <w:rFonts w:cs="Arial"/>
                <w:b/>
                <w:bCs/>
                <w:sz w:val="20"/>
                <w:lang w:val="en-US"/>
              </w:rPr>
              <w:t xml:space="preserve">PORTFÖY YÖNETİMİ A.Ş KORUMA AMAÇLI ŞEMSİYE FON’A BAĞLI </w:t>
            </w:r>
            <w:r>
              <w:rPr>
                <w:rFonts w:cs="Arial"/>
                <w:b/>
                <w:bCs/>
                <w:sz w:val="20"/>
                <w:lang w:val="en-US"/>
              </w:rPr>
              <w:t>….YATIRIM YAPAN …</w:t>
            </w:r>
            <w:r w:rsidRPr="00B46CE6">
              <w:rPr>
                <w:rFonts w:cs="Arial"/>
                <w:b/>
                <w:bCs/>
                <w:sz w:val="20"/>
                <w:lang w:val="en-US"/>
              </w:rPr>
              <w:t xml:space="preserve"> ANAPARA KORUMA AMAÇLI FON</w:t>
            </w:r>
          </w:p>
          <w:p w:rsidR="00EA1CB3" w:rsidRPr="00B46CE6" w:rsidRDefault="00EA1CB3" w:rsidP="00EC7CA0">
            <w:pPr>
              <w:rPr>
                <w:rFonts w:cs="Arial"/>
                <w:b/>
                <w:bCs/>
                <w:sz w:val="20"/>
                <w:lang w:val="en-US"/>
              </w:rPr>
            </w:pPr>
          </w:p>
        </w:tc>
      </w:tr>
    </w:tbl>
    <w:p w:rsidR="00EA1CB3" w:rsidRDefault="00EA1CB3" w:rsidP="00EA1CB3">
      <w:pPr>
        <w:pStyle w:val="ListeParagraf"/>
        <w:numPr>
          <w:ilvl w:val="0"/>
          <w:numId w:val="1"/>
        </w:numPr>
        <w:spacing w:line="340" w:lineRule="atLeast"/>
        <w:ind w:left="567" w:hanging="210"/>
        <w:jc w:val="both"/>
        <w:rPr>
          <w:rFonts w:ascii="Times New Roman" w:hAnsi="Times New Roman"/>
          <w:sz w:val="24"/>
          <w:szCs w:val="24"/>
        </w:rPr>
      </w:pPr>
      <w:r w:rsidRPr="000E35B9">
        <w:rPr>
          <w:rFonts w:ascii="Times New Roman" w:hAnsi="Times New Roman"/>
          <w:sz w:val="24"/>
          <w:szCs w:val="24"/>
        </w:rPr>
        <w:t>Opsiyon sözleşmesine ilişkin örnek muhasebe kayıtları (</w:t>
      </w:r>
      <w:proofErr w:type="gramStart"/>
      <w:r w:rsidRPr="000E35B9">
        <w:rPr>
          <w:rFonts w:ascii="Times New Roman" w:hAnsi="Times New Roman"/>
          <w:i/>
          <w:sz w:val="24"/>
          <w:szCs w:val="24"/>
        </w:rPr>
        <w:t>opsiyon</w:t>
      </w:r>
      <w:proofErr w:type="gramEnd"/>
      <w:r w:rsidRPr="000E35B9">
        <w:rPr>
          <w:rFonts w:ascii="Times New Roman" w:hAnsi="Times New Roman"/>
          <w:i/>
          <w:sz w:val="24"/>
          <w:szCs w:val="24"/>
        </w:rPr>
        <w:t xml:space="preserve"> priminin ödenmesi, değerlenmesi, </w:t>
      </w:r>
      <w:r w:rsidRPr="000E35B9">
        <w:rPr>
          <w:rFonts w:ascii="Times New Roman" w:hAnsi="Times New Roman"/>
          <w:sz w:val="24"/>
          <w:szCs w:val="24"/>
        </w:rPr>
        <w:t xml:space="preserve">yatırım dönemi içinde bozulması, dönem sonunda kullanılması, varsa teminatların değerlemesi vb.) </w:t>
      </w:r>
      <w:r w:rsidRPr="00005D77">
        <w:rPr>
          <w:rFonts w:ascii="Times New Roman" w:hAnsi="Times New Roman"/>
          <w:b/>
          <w:sz w:val="24"/>
          <w:szCs w:val="24"/>
        </w:rPr>
        <w:t>Ek/5</w:t>
      </w:r>
      <w:r w:rsidRPr="000E35B9">
        <w:rPr>
          <w:rFonts w:ascii="Times New Roman" w:hAnsi="Times New Roman"/>
          <w:sz w:val="24"/>
          <w:szCs w:val="24"/>
        </w:rPr>
        <w:t>’te gönderilmektedir.</w:t>
      </w:r>
    </w:p>
    <w:p w:rsidR="00EA1CB3" w:rsidRDefault="00EA1CB3" w:rsidP="00EA1CB3">
      <w:pPr>
        <w:pStyle w:val="ListeParagraf"/>
        <w:spacing w:line="340" w:lineRule="atLeast"/>
        <w:ind w:left="0"/>
        <w:jc w:val="both"/>
        <w:rPr>
          <w:rFonts w:ascii="Times New Roman" w:hAnsi="Times New Roman"/>
          <w:sz w:val="24"/>
          <w:szCs w:val="24"/>
        </w:rPr>
      </w:pPr>
    </w:p>
    <w:p w:rsidR="00EA1CB3" w:rsidRDefault="00EA1CB3" w:rsidP="00EA1CB3">
      <w:pPr>
        <w:pStyle w:val="ListeParagraf"/>
        <w:spacing w:line="340" w:lineRule="atLeast"/>
        <w:ind w:left="0"/>
        <w:jc w:val="both"/>
        <w:rPr>
          <w:rFonts w:ascii="Times New Roman" w:hAnsi="Times New Roman"/>
          <w:sz w:val="24"/>
          <w:szCs w:val="24"/>
        </w:rPr>
      </w:pPr>
    </w:p>
    <w:p w:rsidR="00EA1CB3" w:rsidRPr="00FB40BB" w:rsidRDefault="00EA1CB3" w:rsidP="00EA1CB3">
      <w:pPr>
        <w:pStyle w:val="ListeParagraf"/>
        <w:spacing w:line="340" w:lineRule="atLeast"/>
        <w:ind w:left="0"/>
        <w:jc w:val="both"/>
        <w:rPr>
          <w:rFonts w:ascii="Times New Roman" w:hAnsi="Times New Roman"/>
          <w:sz w:val="24"/>
          <w:szCs w:val="24"/>
        </w:rPr>
      </w:pPr>
    </w:p>
    <w:p w:rsidR="00EA1CB3" w:rsidRPr="000E35B9" w:rsidRDefault="00EA1CB3" w:rsidP="00EA1CB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Cs w:val="24"/>
        </w:rPr>
      </w:pPr>
      <w:r w:rsidRPr="000E35B9">
        <w:rPr>
          <w:rFonts w:ascii="Times New Roman" w:hAnsi="Times New Roman"/>
          <w:b/>
          <w:szCs w:val="24"/>
        </w:rPr>
        <w:t xml:space="preserve">Kanuni yetki ve sorumluluklarımız </w:t>
      </w:r>
      <w:proofErr w:type="gramStart"/>
      <w:r w:rsidRPr="000E35B9">
        <w:rPr>
          <w:rFonts w:ascii="Times New Roman" w:hAnsi="Times New Roman"/>
          <w:b/>
          <w:szCs w:val="24"/>
        </w:rPr>
        <w:t>dahilinde</w:t>
      </w:r>
      <w:proofErr w:type="gramEnd"/>
      <w:r w:rsidRPr="000E35B9">
        <w:rPr>
          <w:rFonts w:ascii="Times New Roman" w:hAnsi="Times New Roman"/>
          <w:b/>
          <w:szCs w:val="24"/>
        </w:rPr>
        <w:t xml:space="preserve"> ve görevimiz çerçevesinde bu beyannamede yer alan bilgilerin ve verilerin gerçeğe uygun olduğunu ve herhangi bir eksiklik içerm</w:t>
      </w:r>
      <w:r w:rsidRPr="002F2680">
        <w:rPr>
          <w:rFonts w:ascii="Times New Roman" w:hAnsi="Times New Roman"/>
          <w:b/>
          <w:szCs w:val="24"/>
        </w:rPr>
        <w:t>ediğini beyan ederiz. (</w:t>
      </w:r>
      <w:r>
        <w:rPr>
          <w:rFonts w:ascii="Times New Roman" w:hAnsi="Times New Roman"/>
          <w:b/>
          <w:szCs w:val="24"/>
        </w:rPr>
        <w:t>…/</w:t>
      </w:r>
      <w:proofErr w:type="gramStart"/>
      <w:r>
        <w:rPr>
          <w:rFonts w:ascii="Times New Roman" w:hAnsi="Times New Roman"/>
          <w:b/>
          <w:szCs w:val="24"/>
        </w:rPr>
        <w:t>..</w:t>
      </w:r>
      <w:proofErr w:type="gramEnd"/>
      <w:r>
        <w:rPr>
          <w:rFonts w:ascii="Times New Roman" w:hAnsi="Times New Roman"/>
          <w:b/>
          <w:szCs w:val="24"/>
        </w:rPr>
        <w:t>/20..</w:t>
      </w:r>
      <w:r w:rsidRPr="002F2680">
        <w:rPr>
          <w:rFonts w:ascii="Times New Roman" w:hAnsi="Times New Roman"/>
          <w:b/>
          <w:szCs w:val="24"/>
        </w:rPr>
        <w:t>)</w:t>
      </w:r>
    </w:p>
    <w:tbl>
      <w:tblPr>
        <w:tblpPr w:leftFromText="141" w:rightFromText="141" w:vertAnchor="text" w:horzAnchor="margin" w:tblpXSpec="center" w:tblpY="322"/>
        <w:tblW w:w="0" w:type="auto"/>
        <w:tblLayout w:type="fixed"/>
        <w:tblLook w:val="0000" w:firstRow="0" w:lastRow="0" w:firstColumn="0" w:lastColumn="0" w:noHBand="0" w:noVBand="0"/>
      </w:tblPr>
      <w:tblGrid>
        <w:gridCol w:w="7200"/>
      </w:tblGrid>
      <w:tr w:rsidR="00EA1CB3" w:rsidRPr="000E35B9" w:rsidTr="00EC7CA0">
        <w:trPr>
          <w:trHeight w:val="477"/>
        </w:trPr>
        <w:tc>
          <w:tcPr>
            <w:tcW w:w="7200" w:type="dxa"/>
          </w:tcPr>
          <w:p w:rsidR="00EA1CB3" w:rsidRPr="000E35B9" w:rsidRDefault="00EA1CB3" w:rsidP="00EC7CA0">
            <w:pPr>
              <w:jc w:val="center"/>
              <w:rPr>
                <w:rFonts w:ascii="Times New Roman" w:hAnsi="Times New Roman"/>
                <w:szCs w:val="24"/>
              </w:rPr>
            </w:pPr>
          </w:p>
        </w:tc>
      </w:tr>
    </w:tbl>
    <w:p w:rsidR="00EA1CB3" w:rsidRPr="000E35B9" w:rsidRDefault="00EA1CB3" w:rsidP="00EA1CB3">
      <w:pPr>
        <w:pStyle w:val="ListeParagraf"/>
        <w:spacing w:line="340" w:lineRule="atLeast"/>
        <w:rPr>
          <w:rFonts w:ascii="Times New Roman" w:hAnsi="Times New Roman"/>
          <w:b/>
          <w:sz w:val="24"/>
          <w:szCs w:val="24"/>
        </w:rPr>
      </w:pPr>
    </w:p>
    <w:p w:rsidR="00EA1CB3" w:rsidRPr="000E35B9" w:rsidRDefault="00EA1CB3" w:rsidP="00EA1CB3">
      <w:pPr>
        <w:pStyle w:val="ListeParagraf"/>
        <w:spacing w:line="340" w:lineRule="atLeast"/>
        <w:ind w:left="0"/>
        <w:jc w:val="both"/>
        <w:rPr>
          <w:rFonts w:ascii="Times New Roman" w:hAnsi="Times New Roman"/>
          <w:b/>
          <w:sz w:val="24"/>
          <w:szCs w:val="24"/>
        </w:rPr>
      </w:pPr>
    </w:p>
    <w:p w:rsidR="00EA1CB3" w:rsidRDefault="00EA1CB3" w:rsidP="00EA1CB3">
      <w:pPr>
        <w:pStyle w:val="ListeParagraf"/>
        <w:spacing w:line="340" w:lineRule="atLeast"/>
        <w:ind w:left="0"/>
        <w:jc w:val="both"/>
        <w:rPr>
          <w:lang w:eastAsia="tr-TR"/>
        </w:rPr>
      </w:pPr>
      <w:r>
        <w:rPr>
          <w:lang w:eastAsia="tr-TR"/>
        </w:rPr>
        <w:t xml:space="preserve">        </w:t>
      </w:r>
    </w:p>
    <w:p w:rsidR="00EA1CB3" w:rsidRDefault="00EA1CB3" w:rsidP="00EA1CB3">
      <w:pPr>
        <w:pStyle w:val="ListeParagraf"/>
        <w:spacing w:line="340" w:lineRule="atLeast"/>
        <w:ind w:left="0"/>
        <w:jc w:val="both"/>
        <w:rPr>
          <w:lang w:eastAsia="tr-TR"/>
        </w:rPr>
      </w:pPr>
    </w:p>
    <w:p w:rsidR="00EA1CB3" w:rsidRDefault="00EA1CB3" w:rsidP="00EA1CB3">
      <w:pPr>
        <w:pStyle w:val="ListeParagraf"/>
        <w:spacing w:line="340" w:lineRule="atLeast"/>
        <w:ind w:left="0"/>
        <w:jc w:val="both"/>
        <w:rPr>
          <w:lang w:eastAsia="tr-TR"/>
        </w:rPr>
      </w:pPr>
    </w:p>
    <w:p w:rsidR="00EA1CB3" w:rsidRPr="00AF260C" w:rsidRDefault="00EA1CB3" w:rsidP="00EA1CB3">
      <w:pPr>
        <w:pStyle w:val="ListeParagraf"/>
        <w:spacing w:line="340" w:lineRule="atLeast"/>
        <w:ind w:left="0"/>
        <w:jc w:val="both"/>
        <w:rPr>
          <w:sz w:val="24"/>
        </w:rPr>
      </w:pPr>
      <w:bookmarkStart w:id="0" w:name="_GoBack"/>
      <w:bookmarkEnd w:id="0"/>
      <w:r>
        <w:rPr>
          <w:lang w:eastAsia="tr-TR"/>
        </w:rPr>
        <w:t xml:space="preserve">           </w:t>
      </w:r>
      <w:r>
        <w:rPr>
          <w:rFonts w:ascii="Times New Roman" w:hAnsi="Times New Roman"/>
          <w:b/>
          <w:sz w:val="24"/>
          <w:szCs w:val="24"/>
        </w:rPr>
        <w:t xml:space="preserve">    </w:t>
      </w:r>
    </w:p>
    <w:p w:rsidR="00EA1CB3" w:rsidRPr="000E35B9" w:rsidRDefault="00EA1CB3" w:rsidP="00EA1CB3">
      <w:pPr>
        <w:jc w:val="both"/>
        <w:rPr>
          <w:rFonts w:ascii="Times New Roman" w:hAnsi="Times New Roman"/>
          <w:szCs w:val="24"/>
        </w:rPr>
      </w:pPr>
      <w:r w:rsidRPr="000E35B9">
        <w:rPr>
          <w:rFonts w:ascii="Times New Roman" w:hAnsi="Times New Roman"/>
          <w:b/>
          <w:szCs w:val="24"/>
          <w:u w:val="single"/>
        </w:rPr>
        <w:lastRenderedPageBreak/>
        <w:t>EKLER</w:t>
      </w:r>
      <w:r w:rsidRPr="000E35B9">
        <w:rPr>
          <w:rFonts w:ascii="Times New Roman" w:hAnsi="Times New Roman"/>
          <w:szCs w:val="24"/>
        </w:rPr>
        <w:t>:</w:t>
      </w:r>
    </w:p>
    <w:p w:rsidR="00EA1CB3" w:rsidRPr="000E35B9" w:rsidRDefault="00EA1CB3" w:rsidP="00EA1CB3">
      <w:pPr>
        <w:pStyle w:val="ListeParagraf"/>
        <w:numPr>
          <w:ilvl w:val="0"/>
          <w:numId w:val="4"/>
        </w:numPr>
        <w:spacing w:line="360" w:lineRule="auto"/>
        <w:jc w:val="both"/>
        <w:rPr>
          <w:rFonts w:ascii="Times New Roman" w:hAnsi="Times New Roman"/>
          <w:sz w:val="24"/>
          <w:szCs w:val="24"/>
        </w:rPr>
      </w:pPr>
      <w:r w:rsidRPr="000E35B9">
        <w:rPr>
          <w:rFonts w:ascii="Times New Roman" w:hAnsi="Times New Roman"/>
          <w:sz w:val="24"/>
          <w:szCs w:val="24"/>
        </w:rPr>
        <w:t xml:space="preserve">Özel bağımsız denetim raporu ve sorumluluk beyanı. </w:t>
      </w:r>
    </w:p>
    <w:p w:rsidR="00EA1CB3" w:rsidRPr="000E35B9" w:rsidRDefault="00EA1CB3" w:rsidP="00EA1CB3">
      <w:pPr>
        <w:pStyle w:val="ListeParagraf"/>
        <w:numPr>
          <w:ilvl w:val="0"/>
          <w:numId w:val="4"/>
        </w:numPr>
        <w:spacing w:line="360" w:lineRule="auto"/>
        <w:jc w:val="both"/>
        <w:rPr>
          <w:rFonts w:ascii="Times New Roman" w:hAnsi="Times New Roman"/>
          <w:sz w:val="24"/>
          <w:szCs w:val="24"/>
        </w:rPr>
      </w:pPr>
      <w:r w:rsidRPr="000E35B9">
        <w:rPr>
          <w:rFonts w:ascii="Times New Roman" w:hAnsi="Times New Roman"/>
          <w:sz w:val="24"/>
          <w:szCs w:val="24"/>
        </w:rPr>
        <w:t xml:space="preserve">Fon </w:t>
      </w:r>
      <w:proofErr w:type="gramStart"/>
      <w:r w:rsidRPr="000E35B9">
        <w:rPr>
          <w:rFonts w:ascii="Times New Roman" w:hAnsi="Times New Roman"/>
          <w:sz w:val="24"/>
          <w:szCs w:val="24"/>
        </w:rPr>
        <w:t>portföy</w:t>
      </w:r>
      <w:proofErr w:type="gramEnd"/>
      <w:r w:rsidRPr="000E35B9">
        <w:rPr>
          <w:rFonts w:ascii="Times New Roman" w:hAnsi="Times New Roman"/>
          <w:sz w:val="24"/>
          <w:szCs w:val="24"/>
        </w:rPr>
        <w:t xml:space="preserve"> ve fon toplam değer tablosu.</w:t>
      </w:r>
    </w:p>
    <w:p w:rsidR="00EA1CB3" w:rsidRPr="000E35B9" w:rsidRDefault="00EA1CB3" w:rsidP="00EA1CB3">
      <w:pPr>
        <w:pStyle w:val="ListeParagraf"/>
        <w:numPr>
          <w:ilvl w:val="0"/>
          <w:numId w:val="4"/>
        </w:numPr>
        <w:spacing w:line="360" w:lineRule="auto"/>
        <w:jc w:val="both"/>
        <w:rPr>
          <w:rFonts w:ascii="Times New Roman" w:hAnsi="Times New Roman"/>
          <w:sz w:val="24"/>
          <w:szCs w:val="24"/>
        </w:rPr>
      </w:pPr>
      <w:r w:rsidRPr="000E35B9">
        <w:rPr>
          <w:rFonts w:ascii="Times New Roman" w:hAnsi="Times New Roman"/>
          <w:sz w:val="24"/>
          <w:szCs w:val="24"/>
        </w:rPr>
        <w:t>Ayrılan karşılıklara ilişkin liste.</w:t>
      </w:r>
    </w:p>
    <w:p w:rsidR="00EA1CB3" w:rsidRPr="000E35B9" w:rsidRDefault="00EA1CB3" w:rsidP="00EA1CB3">
      <w:pPr>
        <w:pStyle w:val="ListeParagraf"/>
        <w:numPr>
          <w:ilvl w:val="0"/>
          <w:numId w:val="4"/>
        </w:numPr>
        <w:spacing w:line="360" w:lineRule="auto"/>
        <w:jc w:val="both"/>
        <w:rPr>
          <w:rFonts w:ascii="Times New Roman" w:hAnsi="Times New Roman"/>
          <w:sz w:val="24"/>
          <w:szCs w:val="24"/>
        </w:rPr>
      </w:pPr>
      <w:r w:rsidRPr="000E35B9">
        <w:rPr>
          <w:rFonts w:ascii="Times New Roman" w:hAnsi="Times New Roman"/>
          <w:sz w:val="24"/>
          <w:szCs w:val="24"/>
        </w:rPr>
        <w:t>Borsa dışı varlıkların değerleme doğrulamalarına ilişkin belgeler.</w:t>
      </w:r>
    </w:p>
    <w:p w:rsidR="00EA1CB3" w:rsidRDefault="00EA1CB3" w:rsidP="00EA1CB3">
      <w:pPr>
        <w:pStyle w:val="ListeParagraf"/>
        <w:numPr>
          <w:ilvl w:val="0"/>
          <w:numId w:val="4"/>
        </w:numPr>
        <w:spacing w:line="360" w:lineRule="auto"/>
        <w:jc w:val="both"/>
        <w:rPr>
          <w:rFonts w:ascii="Times New Roman" w:hAnsi="Times New Roman"/>
          <w:sz w:val="24"/>
          <w:szCs w:val="24"/>
        </w:rPr>
      </w:pPr>
      <w:r w:rsidRPr="000E35B9">
        <w:rPr>
          <w:rFonts w:ascii="Times New Roman" w:hAnsi="Times New Roman"/>
          <w:sz w:val="24"/>
          <w:szCs w:val="24"/>
        </w:rPr>
        <w:t>Opsiyona ilişkin muhasebe kayıt örnekleri.</w:t>
      </w:r>
    </w:p>
    <w:p w:rsidR="00EA1CB3" w:rsidRPr="000E35B9" w:rsidRDefault="00EA1CB3" w:rsidP="00EA1CB3">
      <w:pPr>
        <w:pStyle w:val="ListeParagraf"/>
        <w:numPr>
          <w:ilvl w:val="0"/>
          <w:numId w:val="4"/>
        </w:numPr>
        <w:spacing w:line="360" w:lineRule="auto"/>
        <w:jc w:val="both"/>
        <w:rPr>
          <w:rFonts w:ascii="Times New Roman" w:hAnsi="Times New Roman"/>
          <w:sz w:val="24"/>
          <w:szCs w:val="24"/>
        </w:rPr>
      </w:pPr>
      <w:r>
        <w:rPr>
          <w:rFonts w:ascii="Times New Roman" w:hAnsi="Times New Roman"/>
          <w:sz w:val="24"/>
          <w:szCs w:val="24"/>
        </w:rPr>
        <w:t xml:space="preserve">Kurul ücreti ödeme </w:t>
      </w:r>
      <w:proofErr w:type="gramStart"/>
      <w:r>
        <w:rPr>
          <w:rFonts w:ascii="Times New Roman" w:hAnsi="Times New Roman"/>
          <w:sz w:val="24"/>
          <w:szCs w:val="24"/>
        </w:rPr>
        <w:t>dekontları</w:t>
      </w:r>
      <w:proofErr w:type="gramEnd"/>
      <w:r>
        <w:rPr>
          <w:rFonts w:ascii="Times New Roman" w:hAnsi="Times New Roman"/>
          <w:sz w:val="24"/>
          <w:szCs w:val="24"/>
        </w:rPr>
        <w:t>.</w:t>
      </w:r>
    </w:p>
    <w:p w:rsidR="00EA1CB3" w:rsidRDefault="00EA1CB3" w:rsidP="00EA1CB3">
      <w:pPr>
        <w:jc w:val="both"/>
        <w:rPr>
          <w:rFonts w:ascii="Times New Roman" w:hAnsi="Times New Roman"/>
          <w:b/>
          <w:sz w:val="22"/>
          <w:szCs w:val="22"/>
        </w:rPr>
      </w:pPr>
    </w:p>
    <w:p w:rsidR="00EA1CB3" w:rsidRDefault="00EA1CB3" w:rsidP="00EA1CB3">
      <w:pPr>
        <w:jc w:val="both"/>
        <w:rPr>
          <w:rFonts w:ascii="Times New Roman" w:hAnsi="Times New Roman"/>
          <w:b/>
          <w:sz w:val="22"/>
          <w:szCs w:val="22"/>
        </w:rPr>
      </w:pPr>
    </w:p>
    <w:p w:rsidR="00EA1CB3" w:rsidRDefault="00EA1CB3" w:rsidP="00EA1CB3">
      <w:pPr>
        <w:jc w:val="both"/>
        <w:rPr>
          <w:rFonts w:ascii="Times New Roman" w:hAnsi="Times New Roman"/>
          <w:b/>
          <w:sz w:val="22"/>
          <w:szCs w:val="22"/>
        </w:rPr>
      </w:pPr>
    </w:p>
    <w:p w:rsidR="00B133A6" w:rsidRDefault="00B133A6"/>
    <w:sectPr w:rsidR="00B133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B1B70"/>
    <w:multiLevelType w:val="hybridMultilevel"/>
    <w:tmpl w:val="7DC693F8"/>
    <w:lvl w:ilvl="0" w:tplc="10DE7F8C">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3551101B"/>
    <w:multiLevelType w:val="hybridMultilevel"/>
    <w:tmpl w:val="853025F0"/>
    <w:lvl w:ilvl="0" w:tplc="599AFD36">
      <w:start w:val="66"/>
      <w:numFmt w:val="bullet"/>
      <w:lvlText w:val="-"/>
      <w:lvlJc w:val="left"/>
      <w:pPr>
        <w:ind w:left="540" w:hanging="360"/>
      </w:pPr>
      <w:rPr>
        <w:rFonts w:ascii="Times New Roman" w:eastAsia="Calibri" w:hAnsi="Times New Roman" w:cs="Times New Roman" w:hint="default"/>
      </w:rPr>
    </w:lvl>
    <w:lvl w:ilvl="1" w:tplc="041F0003" w:tentative="1">
      <w:start w:val="1"/>
      <w:numFmt w:val="bullet"/>
      <w:lvlText w:val="o"/>
      <w:lvlJc w:val="left"/>
      <w:pPr>
        <w:ind w:left="1260" w:hanging="360"/>
      </w:pPr>
      <w:rPr>
        <w:rFonts w:ascii="Courier New" w:hAnsi="Courier New" w:cs="Courier New" w:hint="default"/>
      </w:rPr>
    </w:lvl>
    <w:lvl w:ilvl="2" w:tplc="041F0005" w:tentative="1">
      <w:start w:val="1"/>
      <w:numFmt w:val="bullet"/>
      <w:lvlText w:val=""/>
      <w:lvlJc w:val="left"/>
      <w:pPr>
        <w:ind w:left="1980" w:hanging="360"/>
      </w:pPr>
      <w:rPr>
        <w:rFonts w:ascii="Wingdings" w:hAnsi="Wingdings" w:hint="default"/>
      </w:rPr>
    </w:lvl>
    <w:lvl w:ilvl="3" w:tplc="041F0001" w:tentative="1">
      <w:start w:val="1"/>
      <w:numFmt w:val="bullet"/>
      <w:lvlText w:val=""/>
      <w:lvlJc w:val="left"/>
      <w:pPr>
        <w:ind w:left="2700" w:hanging="360"/>
      </w:pPr>
      <w:rPr>
        <w:rFonts w:ascii="Symbol" w:hAnsi="Symbol" w:hint="default"/>
      </w:rPr>
    </w:lvl>
    <w:lvl w:ilvl="4" w:tplc="041F0003" w:tentative="1">
      <w:start w:val="1"/>
      <w:numFmt w:val="bullet"/>
      <w:lvlText w:val="o"/>
      <w:lvlJc w:val="left"/>
      <w:pPr>
        <w:ind w:left="3420" w:hanging="360"/>
      </w:pPr>
      <w:rPr>
        <w:rFonts w:ascii="Courier New" w:hAnsi="Courier New" w:cs="Courier New" w:hint="default"/>
      </w:rPr>
    </w:lvl>
    <w:lvl w:ilvl="5" w:tplc="041F0005" w:tentative="1">
      <w:start w:val="1"/>
      <w:numFmt w:val="bullet"/>
      <w:lvlText w:val=""/>
      <w:lvlJc w:val="left"/>
      <w:pPr>
        <w:ind w:left="4140" w:hanging="360"/>
      </w:pPr>
      <w:rPr>
        <w:rFonts w:ascii="Wingdings" w:hAnsi="Wingdings" w:hint="default"/>
      </w:rPr>
    </w:lvl>
    <w:lvl w:ilvl="6" w:tplc="041F0001" w:tentative="1">
      <w:start w:val="1"/>
      <w:numFmt w:val="bullet"/>
      <w:lvlText w:val=""/>
      <w:lvlJc w:val="left"/>
      <w:pPr>
        <w:ind w:left="4860" w:hanging="360"/>
      </w:pPr>
      <w:rPr>
        <w:rFonts w:ascii="Symbol" w:hAnsi="Symbol" w:hint="default"/>
      </w:rPr>
    </w:lvl>
    <w:lvl w:ilvl="7" w:tplc="041F0003" w:tentative="1">
      <w:start w:val="1"/>
      <w:numFmt w:val="bullet"/>
      <w:lvlText w:val="o"/>
      <w:lvlJc w:val="left"/>
      <w:pPr>
        <w:ind w:left="5580" w:hanging="360"/>
      </w:pPr>
      <w:rPr>
        <w:rFonts w:ascii="Courier New" w:hAnsi="Courier New" w:cs="Courier New" w:hint="default"/>
      </w:rPr>
    </w:lvl>
    <w:lvl w:ilvl="8" w:tplc="041F0005" w:tentative="1">
      <w:start w:val="1"/>
      <w:numFmt w:val="bullet"/>
      <w:lvlText w:val=""/>
      <w:lvlJc w:val="left"/>
      <w:pPr>
        <w:ind w:left="6300" w:hanging="360"/>
      </w:pPr>
      <w:rPr>
        <w:rFonts w:ascii="Wingdings" w:hAnsi="Wingdings" w:hint="default"/>
      </w:rPr>
    </w:lvl>
  </w:abstractNum>
  <w:abstractNum w:abstractNumId="2" w15:restartNumberingAfterBreak="0">
    <w:nsid w:val="4D8A6559"/>
    <w:multiLevelType w:val="hybridMultilevel"/>
    <w:tmpl w:val="382EA51E"/>
    <w:lvl w:ilvl="0" w:tplc="041F001B">
      <w:start w:val="1"/>
      <w:numFmt w:val="lowerRoman"/>
      <w:lvlText w:val="%1."/>
      <w:lvlJc w:val="righ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15:restartNumberingAfterBreak="0">
    <w:nsid w:val="59F25FED"/>
    <w:multiLevelType w:val="hybridMultilevel"/>
    <w:tmpl w:val="00D8CAD0"/>
    <w:lvl w:ilvl="0" w:tplc="041F0019">
      <w:start w:val="1"/>
      <w:numFmt w:val="lowerLetter"/>
      <w:lvlText w:val="%1."/>
      <w:lvlJc w:val="left"/>
      <w:pPr>
        <w:ind w:left="502" w:hanging="360"/>
      </w:pPr>
      <w:rPr>
        <w:b/>
      </w:rPr>
    </w:lvl>
    <w:lvl w:ilvl="1" w:tplc="041F0019">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CB3"/>
    <w:rsid w:val="00B133A6"/>
    <w:rsid w:val="00EA1C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E828"/>
  <w15:chartTrackingRefBased/>
  <w15:docId w15:val="{062E418E-D19B-4B22-908D-3EEAE6FE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CB3"/>
    <w:pPr>
      <w:spacing w:after="0" w:line="240" w:lineRule="auto"/>
    </w:pPr>
    <w:rPr>
      <w:rFonts w:ascii="Arial" w:eastAsia="Times New Roman" w:hAnsi="Arial"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A1CB3"/>
    <w:pPr>
      <w:spacing w:after="200" w:line="276" w:lineRule="auto"/>
      <w:ind w:left="720"/>
      <w:contextualSpacing/>
    </w:pPr>
    <w:rPr>
      <w:rFonts w:ascii="Calibri" w:eastAsia="Calibri" w:hAnsi="Calibri"/>
      <w:sz w:val="22"/>
      <w:szCs w:val="22"/>
    </w:rPr>
  </w:style>
  <w:style w:type="character" w:styleId="Kpr">
    <w:name w:val="Hyperlink"/>
    <w:uiPriority w:val="99"/>
    <w:unhideWhenUsed/>
    <w:rsid w:val="00EA1C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698</Words>
  <Characters>3979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DEĞERLİ</dc:creator>
  <cp:keywords/>
  <dc:description/>
  <cp:lastModifiedBy>Büşra DEĞERLİ</cp:lastModifiedBy>
  <cp:revision>1</cp:revision>
  <dcterms:created xsi:type="dcterms:W3CDTF">2020-08-13T12:21:00Z</dcterms:created>
  <dcterms:modified xsi:type="dcterms:W3CDTF">2020-08-13T12:21:00Z</dcterms:modified>
</cp:coreProperties>
</file>